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FBA" w:rsidRPr="003162BF" w:rsidRDefault="002507A4" w:rsidP="002507A4">
      <w:pPr>
        <w:spacing w:line="240" w:lineRule="auto"/>
        <w:ind w:firstLine="0"/>
        <w:rPr>
          <w:color w:val="000000" w:themeColor="text1"/>
          <w:szCs w:val="28"/>
        </w:rPr>
      </w:pPr>
      <w:r>
        <w:rPr>
          <w:color w:val="000000" w:themeColor="text1"/>
          <w:szCs w:val="28"/>
        </w:rPr>
        <w:t xml:space="preserve">          </w:t>
      </w:r>
    </w:p>
    <w:p w:rsidR="008C1FBA" w:rsidRPr="003162BF" w:rsidRDefault="008C1FBA" w:rsidP="004D40DE">
      <w:pPr>
        <w:spacing w:line="240" w:lineRule="auto"/>
        <w:ind w:firstLine="567"/>
        <w:jc w:val="center"/>
        <w:rPr>
          <w:color w:val="000000" w:themeColor="text1"/>
          <w:szCs w:val="28"/>
        </w:rPr>
      </w:pPr>
    </w:p>
    <w:p w:rsidR="004D40DE" w:rsidRPr="003162BF" w:rsidRDefault="004D40DE" w:rsidP="004D40DE">
      <w:pPr>
        <w:spacing w:line="240" w:lineRule="auto"/>
        <w:ind w:firstLine="567"/>
        <w:jc w:val="center"/>
        <w:rPr>
          <w:color w:val="000000" w:themeColor="text1"/>
          <w:szCs w:val="28"/>
        </w:rPr>
      </w:pPr>
      <w:r w:rsidRPr="003162BF">
        <w:rPr>
          <w:noProof/>
          <w:color w:val="000000" w:themeColor="text1"/>
          <w:lang w:eastAsia="ru-RU"/>
        </w:rPr>
        <w:drawing>
          <wp:inline distT="0" distB="0" distL="0" distR="0" wp14:anchorId="03F667E2" wp14:editId="1EFC0319">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7"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4D40DE" w:rsidRPr="003162BF" w:rsidRDefault="004D40DE" w:rsidP="004D40DE">
      <w:pPr>
        <w:spacing w:line="240" w:lineRule="auto"/>
        <w:ind w:firstLine="567"/>
        <w:jc w:val="center"/>
        <w:rPr>
          <w:rFonts w:ascii="Arial" w:hAnsi="Arial" w:cs="Arial"/>
          <w:color w:val="000000" w:themeColor="text1"/>
          <w:sz w:val="24"/>
          <w:szCs w:val="24"/>
        </w:rPr>
      </w:pP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Российская Федерация</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Липецкая область</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Совет депутатов Становлянского муниципального округа</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05101B"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Двадцать третья</w:t>
      </w:r>
      <w:r w:rsidR="003162BF" w:rsidRPr="003162BF">
        <w:rPr>
          <w:rFonts w:ascii="Arial" w:hAnsi="Arial" w:cs="Arial"/>
          <w:color w:val="000000" w:themeColor="text1"/>
          <w:sz w:val="24"/>
          <w:szCs w:val="24"/>
          <w:lang w:eastAsia="ru-RU"/>
        </w:rPr>
        <w:t xml:space="preserve"> сессия первого созыва</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РЕШЕНИЕ</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05101B"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14.04.</w:t>
      </w:r>
      <w:r w:rsidR="003162BF" w:rsidRPr="003162BF">
        <w:rPr>
          <w:rFonts w:ascii="Arial" w:hAnsi="Arial" w:cs="Arial"/>
          <w:color w:val="000000" w:themeColor="text1"/>
          <w:sz w:val="24"/>
          <w:szCs w:val="24"/>
          <w:lang w:eastAsia="ru-RU"/>
        </w:rPr>
        <w:t xml:space="preserve">2025                         с. Становое                                 № </w:t>
      </w:r>
      <w:r>
        <w:rPr>
          <w:rFonts w:ascii="Arial" w:hAnsi="Arial" w:cs="Arial"/>
          <w:color w:val="000000" w:themeColor="text1"/>
          <w:sz w:val="24"/>
          <w:szCs w:val="24"/>
          <w:lang w:eastAsia="ru-RU"/>
        </w:rPr>
        <w:t>316</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0"/>
        <w:jc w:val="center"/>
        <w:textAlignment w:val="top"/>
        <w:outlineLvl w:val="0"/>
        <w:rPr>
          <w:rFonts w:ascii="Arial" w:hAnsi="Arial" w:cs="Arial"/>
          <w:b/>
          <w:bCs/>
          <w:color w:val="000000" w:themeColor="text1"/>
          <w:kern w:val="36"/>
          <w:sz w:val="32"/>
          <w:szCs w:val="32"/>
          <w:lang w:eastAsia="ru-RU"/>
        </w:rPr>
      </w:pPr>
      <w:r w:rsidRPr="003162BF">
        <w:rPr>
          <w:rFonts w:ascii="Arial" w:hAnsi="Arial" w:cs="Arial"/>
          <w:b/>
          <w:bCs/>
          <w:color w:val="000000" w:themeColor="text1"/>
          <w:kern w:val="36"/>
          <w:sz w:val="32"/>
          <w:szCs w:val="32"/>
          <w:lang w:val="x-none" w:eastAsia="ru-RU"/>
        </w:rPr>
        <w:t>О</w:t>
      </w:r>
      <w:r w:rsidRPr="003162BF">
        <w:rPr>
          <w:rFonts w:ascii="Arial" w:hAnsi="Arial" w:cs="Arial"/>
          <w:b/>
          <w:bCs/>
          <w:color w:val="000000" w:themeColor="text1"/>
          <w:kern w:val="36"/>
          <w:sz w:val="32"/>
          <w:szCs w:val="32"/>
          <w:lang w:eastAsia="ru-RU"/>
        </w:rPr>
        <w:t>б утверждении Положения "О муниципальном жилищном контроле на территории Становлянского муниципального округа Липецкой области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Рассмотрев внесенный главой Становлянского округа проект Положения "О муниципальном жилищном контроле на территории Становлянского муниципального округа Липецкой области Российской Федерации", руководствуясь Жилищным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 Федеральным законом от 31 июля 2020 года № 248-ФЗ "О государственном контроле (надзоре) и муниципальном контроле в Российской Федерации",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Становлянского муниципального округа Липецкой области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val="x-none" w:eastAsia="ru-RU"/>
        </w:rPr>
        <w:t>РЕШИЛ:</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val="x-none" w:eastAsia="ru-RU"/>
        </w:rPr>
        <w:t>1. Утвердить Положение "О муниципальном жилищном контроле на территории Становлянского муниципального округа Липецкой области Российской Федерации" (прилагается).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Направить вышеуказанный нормативный правовой акт главе Становлянского округа для подписания и официального опубликования.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Настоящее решение вступает в силу со дня его принятия.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Председатель Совета депутатов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Становлянского округа </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3162BF">
        <w:rPr>
          <w:rFonts w:ascii="Arial" w:hAnsi="Arial" w:cs="Arial"/>
          <w:color w:val="000000" w:themeColor="text1"/>
          <w:sz w:val="24"/>
          <w:szCs w:val="24"/>
          <w:lang w:eastAsia="ru-RU"/>
        </w:rPr>
        <w:t>И.Ю. Лариков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Утверждено</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решением Совета депутатов</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Становлянского муниципального округа</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Липецкой области Российской Федерации</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от </w:t>
      </w:r>
      <w:r w:rsidR="0005101B">
        <w:rPr>
          <w:rFonts w:ascii="Arial" w:hAnsi="Arial" w:cs="Arial"/>
          <w:color w:val="000000" w:themeColor="text1"/>
          <w:sz w:val="24"/>
          <w:szCs w:val="24"/>
          <w:lang w:eastAsia="ru-RU"/>
        </w:rPr>
        <w:t>14.04.</w:t>
      </w:r>
      <w:r w:rsidRPr="003162BF">
        <w:rPr>
          <w:rFonts w:ascii="Arial" w:hAnsi="Arial" w:cs="Arial"/>
          <w:color w:val="000000" w:themeColor="text1"/>
          <w:sz w:val="24"/>
          <w:szCs w:val="24"/>
          <w:lang w:eastAsia="ru-RU"/>
        </w:rPr>
        <w:t xml:space="preserve">2025 № </w:t>
      </w:r>
      <w:r w:rsidR="0005101B">
        <w:rPr>
          <w:rFonts w:ascii="Arial" w:hAnsi="Arial" w:cs="Arial"/>
          <w:color w:val="000000" w:themeColor="text1"/>
          <w:sz w:val="24"/>
          <w:szCs w:val="24"/>
          <w:lang w:eastAsia="ru-RU"/>
        </w:rPr>
        <w:t>316</w:t>
      </w:r>
      <w:bookmarkStart w:id="0" w:name="_GoBack"/>
      <w:bookmarkEnd w:id="0"/>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0"/>
        <w:jc w:val="center"/>
        <w:textAlignment w:val="top"/>
        <w:outlineLvl w:val="1"/>
        <w:rPr>
          <w:rFonts w:ascii="Arial" w:hAnsi="Arial" w:cs="Arial"/>
          <w:b/>
          <w:bCs/>
          <w:color w:val="000000" w:themeColor="text1"/>
          <w:sz w:val="32"/>
          <w:szCs w:val="32"/>
          <w:lang w:eastAsia="ru-RU"/>
        </w:rPr>
      </w:pPr>
      <w:r w:rsidRPr="003162BF">
        <w:rPr>
          <w:rFonts w:ascii="Arial" w:hAnsi="Arial" w:cs="Arial"/>
          <w:b/>
          <w:bCs/>
          <w:color w:val="000000" w:themeColor="text1"/>
          <w:sz w:val="32"/>
          <w:szCs w:val="32"/>
          <w:lang w:eastAsia="ru-RU"/>
        </w:rPr>
        <w:t>Положение "О муниципальном жилищном контроле на территории Становлянского муниципального округа Липецкой области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3162BF">
        <w:rPr>
          <w:rFonts w:ascii="Arial" w:hAnsi="Arial" w:cs="Arial"/>
          <w:b/>
          <w:bCs/>
          <w:color w:val="000000" w:themeColor="text1"/>
          <w:sz w:val="30"/>
          <w:szCs w:val="30"/>
          <w:lang w:eastAsia="ru-RU"/>
        </w:rPr>
        <w:t>Раздел 1. Общие положения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Положение "О муниципальном жилищном контроле на территории Становлянского муниципального округа Липецкой области Российской Федерации" (далее -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и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устанавливает порядок организации и осуществления муниципального жилищного контроля (далее - муниципальный контроль) на территории Становлянского муниципального округа Липецкой области Российской Федерации (далее - муниципальное образование).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Органом местного самоуправления, уполномоченным на осуществление муниципального контроля, является администрация Становлянского округа (далее - уполномоченный орган).</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Непосредственное осуществление муниципального контроля возлагается на отдел ЖКХ, благоустройства и дорожной деятельности администрации Становлянского округа.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Предметом муниципального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жилищного законодательства.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7. Муниципальный контроль вправе осуществлять следующие должностные лица уполномоченного органа: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глава администрации Становлянского округа;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заместитель главы администрации Становлянского округа;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старший инспектор по осуществлению муниципального контроля администрации Становлянского округа.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8. Должностными лицами, уполномоченными на принятие решений о проведении контрольных мероприятий, являются глава администрации Становлянского округа, и.о. главы администрации Становлянского округа, заместитель главы администрации Становлянского округа.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9.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12. Контролируемое лицо при осуществлении муниципального контроля имеет право:</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6) привлекать Уполномоченного при Президенте Российской Федерации по защите прав предпринимателей, его общественных представителей либо </w:t>
      </w:r>
      <w:r w:rsidRPr="003162BF">
        <w:rPr>
          <w:rFonts w:ascii="Arial" w:hAnsi="Arial" w:cs="Arial"/>
          <w:color w:val="000000" w:themeColor="text1"/>
          <w:sz w:val="24"/>
          <w:szCs w:val="24"/>
          <w:lang w:eastAsia="ru-RU"/>
        </w:rPr>
        <w:lastRenderedPageBreak/>
        <w:t>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3162BF">
        <w:rPr>
          <w:rFonts w:ascii="Arial" w:hAnsi="Arial" w:cs="Arial"/>
          <w:b/>
          <w:bCs/>
          <w:color w:val="000000" w:themeColor="text1"/>
          <w:sz w:val="30"/>
          <w:szCs w:val="30"/>
          <w:lang w:eastAsia="ru-RU"/>
        </w:rPr>
        <w:t>Раздел 2. Управление рисками причинения вреда (ущерба) охраняемым законом ценностям при осуществлении муниципального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средний риск;</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умеренный риск;</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низкий риск.</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15.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Обязательный профилактический визит в отношении объектов контроля, отнесенных к категории значительного, среднего или умеренного риска, проводится </w:t>
      </w:r>
      <w:r w:rsidRPr="003162BF">
        <w:rPr>
          <w:rFonts w:ascii="Arial" w:hAnsi="Arial" w:cs="Arial"/>
          <w:color w:val="000000" w:themeColor="text1"/>
          <w:sz w:val="24"/>
          <w:szCs w:val="24"/>
          <w:lang w:eastAsia="ru-RU"/>
        </w:rPr>
        <w:lastRenderedPageBreak/>
        <w:t>с периодичностью, установленной постановлением Правительства Российский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3162BF">
        <w:rPr>
          <w:rFonts w:ascii="Arial" w:hAnsi="Arial" w:cs="Arial"/>
          <w:b/>
          <w:bCs/>
          <w:color w:val="000000" w:themeColor="text1"/>
          <w:sz w:val="30"/>
          <w:szCs w:val="30"/>
          <w:lang w:eastAsia="ru-RU"/>
        </w:rPr>
        <w:t>Раздел 3. Профилактика рисков причинения вреда (ущерба) охраняемым законом ценностям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информирование;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консультирование;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объявление предостережения;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профилактический визит</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Уполномоченный орган поддерживает указанные сведения в актуальном состоянии на своем официальном сайте в сети "Интернет".</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22. Должностные лица уполномоченного органа осуществляют консультирование контролируемых лиц и их представителей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порядка проведения контрольных мероприятий;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периодичности проведения контрольных мероприятий;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порядка принятия решений по итогам контрольных мероприятий;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 порядка обжалования решений, действия (бездействия) должностных лиц уполномоченного органа.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w:t>
      </w:r>
      <w:r w:rsidRPr="003162BF">
        <w:rPr>
          <w:rFonts w:ascii="Arial" w:hAnsi="Arial" w:cs="Arial"/>
          <w:color w:val="000000" w:themeColor="text1"/>
          <w:sz w:val="24"/>
          <w:szCs w:val="24"/>
          <w:lang w:eastAsia="ru-RU"/>
        </w:rPr>
        <w:lastRenderedPageBreak/>
        <w:t>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23. 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Федерального закона № 248-ФЗ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указываются: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наименование юридического лица либо фамилия, имя, отчество (при наличии) индивидуального предпринимателя или гражданина;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дата и номер предостережения, уполномоченный орган, объявивший предостережение;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 предлагаемый способ (адрес) направления уполномоченным органом информации о результатах рассмотрения возражений.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с использованием единого портала государственных и муниципальных услуг (функций).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Возражение рассматривается уполномоченным органом в течение 10 рабочих дней со дня их регистрации.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По результатам рассмотрения возражения уполномоченный орган принимает одно из следующих решений: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а) удовлетворяет возражение и отменяет объявленное предостережение;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б) отказывает в удовлетворении возражения.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24. Профилактический визит проводится в соответствии с положениями статьи 52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25. Обязательный профилактический визит проводится в порядке, установленном статьей 52.1 Федерального закона № 248-ФЗ, и не предусматривает отказ контролируемого лица от его проведения.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26. Уполномоченный орган проводит профилактический визит по заявлению контролируемого лица в порядке, установленном статьей 52.2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от контролируемого лица поступило уведомление об отзыве заявления;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В случае принятия решения о проведении профилактического визита по заявлению контролируемого лица уполномоченный орган в течение 20 рабочих </w:t>
      </w:r>
      <w:r w:rsidRPr="003162BF">
        <w:rPr>
          <w:rFonts w:ascii="Arial" w:hAnsi="Arial" w:cs="Arial"/>
          <w:color w:val="000000" w:themeColor="text1"/>
          <w:sz w:val="24"/>
          <w:szCs w:val="24"/>
          <w:lang w:eastAsia="ru-RU"/>
        </w:rPr>
        <w:lastRenderedPageBreak/>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27.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3162BF">
        <w:rPr>
          <w:rFonts w:ascii="Arial" w:hAnsi="Arial" w:cs="Arial"/>
          <w:b/>
          <w:bCs/>
          <w:color w:val="000000" w:themeColor="text1"/>
          <w:sz w:val="30"/>
          <w:szCs w:val="30"/>
          <w:lang w:eastAsia="ru-RU"/>
        </w:rPr>
        <w:t>Раздел 4. Осуществление муниципального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29. Контрольные мероприятия проводятся на внеплановой основе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30. При взаимодействии с контролируемым лицом проводятся следующие контрольные мероприятия: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инспекционный визит, в ходе которого в соответствии со статьей 70 Федерального закона № 248-ФЗ могут совершаться следующие действия: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а) осмотр;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б) опрос;</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получение письменных объяснений;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г) инструментальное обследование;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д) истребование документов, которые в соответствии с обязательными требованиями должны находиться в месте нахождения (осуществления </w:t>
      </w:r>
      <w:r w:rsidRPr="003162BF">
        <w:rPr>
          <w:rFonts w:ascii="Arial" w:hAnsi="Arial" w:cs="Arial"/>
          <w:color w:val="000000" w:themeColor="text1"/>
          <w:sz w:val="24"/>
          <w:szCs w:val="24"/>
          <w:lang w:eastAsia="ru-RU"/>
        </w:rPr>
        <w:lastRenderedPageBreak/>
        <w:t>деятельности) контролируемого лица (его филиалов, представительств, обособленных структурных подразделений) либо объекта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рейдовый осмотр, в ходе которого в соответствии со статьей 71 Федерального закона № 248-ФЗ могут совершаться следующие действия: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а) осмотр;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б) досмотр;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опрос;</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г) получение письменных объяснений;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д) истребование документов;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е) инструментальное обследование;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ж) испытание;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з) экспертиза;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документарная проверка, в ходе которой в соответствии со статьей 72 Федерального закона № 248-ФЗ могут совершаться следующие действия: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а) получение письменных объяснений;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б) истребование документов, экспертиза;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выездная проверка, в ходе которой в соответствии со статьей 73 Федерального закона № 248-ФЗ могут совершаться следующие действия: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а) осмотр;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б) досмотр;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опрос;</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г) получение письменных объяснений;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д) истребование документов;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е) отбор проб (образцов);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ж) инструментальное обследование;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з) испытание;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и) экспертиза.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32. Без взаимодействия с контролируемым лицом проводятся следующие контрольные мероприятия: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наблюдение за соблюдением обязательных требований в соответствии со статьей 74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выездное обследование, в ходе которого в соответствии со статьей 75 Федерального закона № 248-ФЗ на общедоступных (открытых для посещения неограниченным кругом лиц) производственных объектах могут совершаться следующие действия: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а) осмотр;</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б) отбор проб (образцов);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инструментальное обследование (с применением видеозаписи);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г) испытание;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д) экспертиза.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33. Внеплановые контрольные мероприятия с взаимодействием с контролируемыми лицами проводятся при наличии оснований, предусмотренных частями 1, 3 статьи 57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(приложение 2).</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34. Информация о контрольных мероприятиях вносится в федеральную государственную информационную систему "Единый реестр контрольных (надзорных) мероприятий" с учетом требований законодательства Российской Федерации о государственной тайне и иной охраняемой законом тайне.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38. По результатам проведения выездного обследования не может быть принято решение, предусмотренное пунктом 2 части 2 статьи 90 Федерального закона № 248-ФЗ, за исключением случаев, установленных федеральным законом о виде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xml:space="preserve">39.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w:t>
      </w:r>
      <w:r w:rsidRPr="003162BF">
        <w:rPr>
          <w:rFonts w:ascii="Arial" w:hAnsi="Arial" w:cs="Arial"/>
          <w:color w:val="000000" w:themeColor="text1"/>
          <w:sz w:val="24"/>
          <w:szCs w:val="24"/>
          <w:lang w:eastAsia="ru-RU"/>
        </w:rPr>
        <w:lastRenderedPageBreak/>
        <w:t>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40.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Документы и иные материалы, являющиеся доказательствами нарушения обязательных требований, приобщаются к акту контрольного мероприятия.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42.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Федеральным законом № 248-ФЗ или Правительством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44. Если составление акта на месте проведения контрольного мероприятия невозможно по причинам, установленным Федеральным законом № 248-ФЗ, акт составляется не позднее дня, следующего за днем окончания проведения такого мероприятия, если иной порядок оформления акта не установлен Федеральным законом № 248-ФЗ или Правительством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контролируемому лицу с учетом требований статьи 90.1 Федерального закона № 248-ФЗ выдается предписание об устранении выявленных нарушений обязательных требований.</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Уполномоченный орган может отменить предписание об устранении выявленных нарушений обязательных требований в случаях, установленных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Федерального закона № 248-ФЗ.</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Контролируемое лицо не имеет права отказаться от исполнения соглашения в одностороннем порядке.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49. В целях качественной оценки уровня защиты охраняемых законом ценностей в муниципальном жилищном контроле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 </w:t>
      </w:r>
    </w:p>
    <w:p w:rsidR="003162BF" w:rsidRPr="003162BF" w:rsidRDefault="003162BF" w:rsidP="003162BF">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3162BF">
        <w:rPr>
          <w:rFonts w:ascii="Arial" w:hAnsi="Arial" w:cs="Arial"/>
          <w:b/>
          <w:bCs/>
          <w:color w:val="000000" w:themeColor="text1"/>
          <w:sz w:val="30"/>
          <w:szCs w:val="30"/>
          <w:lang w:eastAsia="ru-RU"/>
        </w:rPr>
        <w:t>Раздел 5. Обжалование решений уполномоченного  органа, действий (бездействия) его должностных лиц  при осуществлении муниципального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50. В соответствии с частью 4 статьи 39 Федерального закона № 248-ФЗ досудебный порядок подачи жалоб при осуществлении муниципального контроля не применяется.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3162BF">
        <w:rPr>
          <w:rFonts w:ascii="Arial" w:hAnsi="Arial" w:cs="Arial"/>
          <w:b/>
          <w:bCs/>
          <w:color w:val="000000" w:themeColor="text1"/>
          <w:sz w:val="30"/>
          <w:szCs w:val="30"/>
          <w:lang w:eastAsia="ru-RU"/>
        </w:rPr>
        <w:t>Раздел 6. Заключительные положения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51.  Настоящие Положение вступает в силу со дня его официального опубликования.</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Приложение 1</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 Положению "О муниципальном жилищном</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контроле на территории</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Становлянского муниципального округа</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Липецкой области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b/>
          <w:bCs/>
          <w:color w:val="000000" w:themeColor="text1"/>
          <w:sz w:val="24"/>
          <w:szCs w:val="24"/>
          <w:lang w:eastAsia="ru-RU"/>
        </w:rPr>
        <w:t>Критерии отнесения объектов муниципального жилищного  контроля к определенной категории риска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79"/>
        <w:gridCol w:w="1782"/>
        <w:gridCol w:w="7089"/>
      </w:tblGrid>
      <w:tr w:rsidR="003162BF" w:rsidRPr="003162BF" w:rsidTr="003162BF">
        <w:tc>
          <w:tcPr>
            <w:tcW w:w="63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w:t>
            </w:r>
          </w:p>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п/п</w:t>
            </w:r>
          </w:p>
        </w:tc>
        <w:tc>
          <w:tcPr>
            <w:tcW w:w="195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Категория риска</w:t>
            </w:r>
          </w:p>
        </w:tc>
        <w:tc>
          <w:tcPr>
            <w:tcW w:w="960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Критерии отнесения объектов муниципального контроля к определенной категории риска</w:t>
            </w:r>
          </w:p>
        </w:tc>
      </w:tr>
      <w:tr w:rsidR="003162BF" w:rsidRPr="003162BF" w:rsidTr="003162BF">
        <w:tc>
          <w:tcPr>
            <w:tcW w:w="63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w:t>
            </w:r>
          </w:p>
        </w:tc>
        <w:tc>
          <w:tcPr>
            <w:tcW w:w="195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Средний риск</w:t>
            </w:r>
          </w:p>
        </w:tc>
        <w:tc>
          <w:tcPr>
            <w:tcW w:w="960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значении показателя риска от 4 до 6 включительно</w:t>
            </w:r>
          </w:p>
        </w:tc>
      </w:tr>
      <w:tr w:rsidR="003162BF" w:rsidRPr="003162BF" w:rsidTr="003162BF">
        <w:tc>
          <w:tcPr>
            <w:tcW w:w="63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w:t>
            </w:r>
          </w:p>
        </w:tc>
        <w:tc>
          <w:tcPr>
            <w:tcW w:w="195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Умеренный риск</w:t>
            </w:r>
          </w:p>
        </w:tc>
        <w:tc>
          <w:tcPr>
            <w:tcW w:w="960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значении показателя риска от 1 до 3 включительно</w:t>
            </w:r>
          </w:p>
        </w:tc>
      </w:tr>
      <w:tr w:rsidR="003162BF" w:rsidRPr="003162BF" w:rsidTr="003162BF">
        <w:tc>
          <w:tcPr>
            <w:tcW w:w="63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w:t>
            </w:r>
          </w:p>
        </w:tc>
        <w:tc>
          <w:tcPr>
            <w:tcW w:w="195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Низкий риск</w:t>
            </w:r>
          </w:p>
        </w:tc>
        <w:tc>
          <w:tcPr>
            <w:tcW w:w="9600" w:type="dxa"/>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Все объекты, не отнесенные к иным категориям риска</w:t>
            </w:r>
          </w:p>
        </w:tc>
      </w:tr>
    </w:tbl>
    <w:p w:rsidR="003162BF" w:rsidRPr="003162BF" w:rsidRDefault="003162BF" w:rsidP="003162BF">
      <w:pPr>
        <w:shd w:val="clear" w:color="auto" w:fill="FFFFFF"/>
        <w:spacing w:line="240" w:lineRule="auto"/>
        <w:ind w:firstLine="0"/>
        <w:jc w:val="lef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Показатель риска рассчитывается по следующей формуле: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 = 2 x V1 + V2 +2 x V3, где:</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 - показатель риска;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статьей 19.7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Приложение 2</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 Положению "О муниципальном жилищном</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контроле на территории</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Становлянского муниципального округа</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Липецкой области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b/>
          <w:bCs/>
          <w:color w:val="000000" w:themeColor="text1"/>
          <w:sz w:val="24"/>
          <w:szCs w:val="24"/>
          <w:lang w:eastAsia="ru-RU"/>
        </w:rPr>
        <w:t>Перечень индикаторов риска нарушения обязательных требований, используемых для определения необходимости проведения внеплановых контрольных мероприятий (проверок) при осуществлении муниципального жилищного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отсутствие в течение 3 и более месяцев в отношении объектов муниципального жилищного фонда или многоквартирных домов, в которых имеются жилые помещения муниципального жилищного фонда,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 находящемся в управлении отдельно взятого объединения собственников жилья, в течение 6 месяцев, сведения о которых поступили из уполномоченных органов государственной власти;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Приложение 3</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 Положению "О муниципальном жилищном</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контроле на территории</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Становлянского муниципального округа</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Липецкой области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b/>
          <w:bCs/>
          <w:color w:val="000000" w:themeColor="text1"/>
          <w:sz w:val="24"/>
          <w:szCs w:val="24"/>
          <w:lang w:eastAsia="ru-RU"/>
        </w:rPr>
        <w:t>Ключевые показатели результативности и эффективности муниципального жилищном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20"/>
        <w:gridCol w:w="5977"/>
        <w:gridCol w:w="1629"/>
        <w:gridCol w:w="1324"/>
      </w:tblGrid>
      <w:tr w:rsidR="003162BF" w:rsidRPr="003162BF" w:rsidTr="003162BF">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Наименование показателя</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Ед. изм.</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Целевое значение</w:t>
            </w:r>
          </w:p>
        </w:tc>
      </w:tr>
      <w:tr w:rsidR="003162BF" w:rsidRPr="003162BF" w:rsidTr="003162BF">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Количество погибших в результате нарушения требований жилищного законодательства</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человек</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0</w:t>
            </w:r>
          </w:p>
        </w:tc>
      </w:tr>
      <w:tr w:rsidR="003162BF" w:rsidRPr="003162BF" w:rsidTr="003162BF">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Количество травмированных в результате нарушения требований жилищного законодательства</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человек на 10 тыс. населения</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w:t>
            </w:r>
          </w:p>
        </w:tc>
      </w:tr>
      <w:tr w:rsidR="003162BF" w:rsidRPr="003162BF" w:rsidTr="003162BF">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Процент устраненных нарушений из числа выявленных нарушений обязательных требований</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процентов</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80</w:t>
            </w:r>
          </w:p>
        </w:tc>
      </w:tr>
      <w:tr w:rsidR="003162BF" w:rsidRPr="003162BF" w:rsidTr="003162BF">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Доля поврежденных муниципальных жилых помещений в результате деятельности граждан, индивидуальных предпринимателей и юридических лиц по использованию и сохранности муниципального жилищного фонда на территории муниципального образования</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процентов</w:t>
            </w:r>
          </w:p>
        </w:tc>
        <w:tc>
          <w:tcPr>
            <w:tcW w:w="0" w:type="auto"/>
            <w:tcBorders>
              <w:top w:val="single" w:sz="6" w:space="0" w:color="000000"/>
              <w:left w:val="single" w:sz="6" w:space="0" w:color="000000"/>
              <w:bottom w:val="single" w:sz="6" w:space="0" w:color="000000"/>
              <w:right w:val="single" w:sz="6" w:space="0" w:color="000000"/>
            </w:tcBorders>
            <w:hideMark/>
          </w:tcPr>
          <w:p w:rsidR="003162BF" w:rsidRPr="003162BF" w:rsidRDefault="003162BF" w:rsidP="003162BF">
            <w:pPr>
              <w:spacing w:line="240" w:lineRule="auto"/>
              <w:ind w:firstLine="0"/>
              <w:jc w:val="left"/>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w:t>
            </w:r>
          </w:p>
        </w:tc>
      </w:tr>
    </w:tbl>
    <w:p w:rsidR="003162BF" w:rsidRPr="003162BF" w:rsidRDefault="003162BF" w:rsidP="003162BF">
      <w:pPr>
        <w:shd w:val="clear" w:color="auto" w:fill="FFFFFF"/>
        <w:spacing w:line="240" w:lineRule="auto"/>
        <w:ind w:firstLine="0"/>
        <w:jc w:val="lef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Приложение 4</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 Положению "О муниципальном жилищном</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контроле на территории</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Становлянского муниципального округа</w:t>
      </w:r>
    </w:p>
    <w:p w:rsidR="003162BF" w:rsidRPr="003162BF" w:rsidRDefault="003162BF" w:rsidP="003162BF">
      <w:pPr>
        <w:shd w:val="clear" w:color="auto" w:fill="FFFFFF"/>
        <w:spacing w:line="240" w:lineRule="auto"/>
        <w:ind w:firstLine="567"/>
        <w:jc w:val="right"/>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Липецкой области Российской Федерации"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3162BF">
        <w:rPr>
          <w:rFonts w:ascii="Arial" w:hAnsi="Arial" w:cs="Arial"/>
          <w:b/>
          <w:bCs/>
          <w:color w:val="000000" w:themeColor="text1"/>
          <w:sz w:val="24"/>
          <w:szCs w:val="24"/>
          <w:lang w:eastAsia="ru-RU"/>
        </w:rPr>
        <w:t>Индикативные показатели результативности и эффективности муниципального жилищного контроля</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 </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При осуществлении муниципального жилищного контроля устанавливаются следующие индикативные показатели:</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 количество внеплановых контрольных мероприятий, проведенных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3) общее количество контрольных мероприятий с взаимодействием, проведенных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4) количество контрольных мероприятий с взаимодействием по каждому виду контрольного мероприятия, проведенных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5) количество контрольных мероприятий, проведенных с использованием средств дистанционного взаимодействия,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6) количество обязательных профилактических визитов, проведенных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7) количество предостережений о недопустимости нарушения обязательных требований, объявленных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8) количество контрольных мероприятий, по результатам которых выявлены нарушения обязательных требований,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9) количество контрольных мероприятий, по итогам которых возбуждены дела об административных правонарушениях,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10) сумма административных штрафов, наложенных по результатам контрольных мероприятий,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11) количество направленных в органы прокуратуры заявлений о согласовании проведения контрольных мероприятий,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13) общее количество учтенных объектов контроля на конец отчетного периода;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15) количество учтенных контролируемых лиц на конец отчетного периода;</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16) количество учтенных контролируемых лиц, в отношении которых проведены контрольные мероприятия,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r w:rsidRPr="003162BF">
        <w:rPr>
          <w:rFonts w:ascii="Arial" w:hAnsi="Arial" w:cs="Arial"/>
          <w:color w:val="000000" w:themeColor="text1"/>
          <w:sz w:val="24"/>
          <w:szCs w:val="24"/>
          <w:lang w:eastAsia="ru-RU"/>
        </w:rPr>
        <w:lastRenderedPageBreak/>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rsidR="003162BF" w:rsidRPr="003162BF" w:rsidRDefault="003162BF" w:rsidP="003162BF">
      <w:pPr>
        <w:shd w:val="clear" w:color="auto" w:fill="FFFFFF"/>
        <w:spacing w:line="240" w:lineRule="auto"/>
        <w:ind w:firstLine="567"/>
        <w:textAlignment w:val="top"/>
        <w:rPr>
          <w:rFonts w:ascii="Arial" w:hAnsi="Arial" w:cs="Arial"/>
          <w:color w:val="000000" w:themeColor="text1"/>
          <w:sz w:val="24"/>
          <w:szCs w:val="24"/>
          <w:lang w:eastAsia="ru-RU"/>
        </w:rPr>
      </w:pPr>
    </w:p>
    <w:sectPr w:rsidR="003162BF" w:rsidRPr="003162BF" w:rsidSect="00816031">
      <w:headerReference w:type="even" r:id="rId8"/>
      <w:headerReference w:type="first" r:id="rId9"/>
      <w:pgSz w:w="11906" w:h="16838"/>
      <w:pgMar w:top="1134"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C6C" w:rsidRDefault="00A37C6C">
      <w:r>
        <w:separator/>
      </w:r>
    </w:p>
  </w:endnote>
  <w:endnote w:type="continuationSeparator" w:id="0">
    <w:p w:rsidR="00A37C6C" w:rsidRDefault="00A37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C6C" w:rsidRDefault="00A37C6C">
      <w:r>
        <w:separator/>
      </w:r>
    </w:p>
  </w:footnote>
  <w:footnote w:type="continuationSeparator" w:id="0">
    <w:p w:rsidR="00A37C6C" w:rsidRDefault="00A37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F33"/>
    <w:rsid w:val="00000E7B"/>
    <w:rsid w:val="0005101B"/>
    <w:rsid w:val="00214FF5"/>
    <w:rsid w:val="002507A4"/>
    <w:rsid w:val="0025782D"/>
    <w:rsid w:val="002E0816"/>
    <w:rsid w:val="003162BF"/>
    <w:rsid w:val="00342618"/>
    <w:rsid w:val="004D40DE"/>
    <w:rsid w:val="004E7F66"/>
    <w:rsid w:val="005815C2"/>
    <w:rsid w:val="00780F33"/>
    <w:rsid w:val="00816031"/>
    <w:rsid w:val="008C1FBA"/>
    <w:rsid w:val="009A2126"/>
    <w:rsid w:val="00A37C6C"/>
    <w:rsid w:val="00B16FAA"/>
    <w:rsid w:val="00B55E2E"/>
    <w:rsid w:val="00BA76C6"/>
    <w:rsid w:val="00C26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F5A9D"/>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801454">
      <w:bodyDiv w:val="1"/>
      <w:marLeft w:val="0"/>
      <w:marRight w:val="0"/>
      <w:marTop w:val="0"/>
      <w:marBottom w:val="0"/>
      <w:divBdr>
        <w:top w:val="none" w:sz="0" w:space="0" w:color="auto"/>
        <w:left w:val="none" w:sz="0" w:space="0" w:color="auto"/>
        <w:bottom w:val="none" w:sz="0" w:space="0" w:color="auto"/>
        <w:right w:val="none" w:sz="0" w:space="0" w:color="auto"/>
      </w:divBdr>
      <w:divsChild>
        <w:div w:id="772356626">
          <w:marLeft w:val="0"/>
          <w:marRight w:val="0"/>
          <w:marTop w:val="0"/>
          <w:marBottom w:val="0"/>
          <w:divBdr>
            <w:top w:val="none" w:sz="0" w:space="0" w:color="157FCC"/>
            <w:left w:val="none" w:sz="0" w:space="0" w:color="157FCC"/>
            <w:bottom w:val="none" w:sz="0" w:space="0" w:color="157FCC"/>
            <w:right w:val="none" w:sz="0" w:space="0" w:color="157FCC"/>
          </w:divBdr>
          <w:divsChild>
            <w:div w:id="1816601000">
              <w:marLeft w:val="0"/>
              <w:marRight w:val="0"/>
              <w:marTop w:val="0"/>
              <w:marBottom w:val="0"/>
              <w:divBdr>
                <w:top w:val="single" w:sz="6" w:space="0" w:color="157FCC"/>
                <w:left w:val="single" w:sz="6" w:space="0" w:color="157FCC"/>
                <w:bottom w:val="single" w:sz="6" w:space="0" w:color="157FCC"/>
                <w:right w:val="single" w:sz="6" w:space="0" w:color="157FCC"/>
              </w:divBdr>
              <w:divsChild>
                <w:div w:id="1610359796">
                  <w:marLeft w:val="0"/>
                  <w:marRight w:val="0"/>
                  <w:marTop w:val="0"/>
                  <w:marBottom w:val="0"/>
                  <w:divBdr>
                    <w:top w:val="none" w:sz="0" w:space="0" w:color="157FCC"/>
                    <w:left w:val="none" w:sz="0" w:space="0" w:color="157FCC"/>
                    <w:bottom w:val="none" w:sz="0" w:space="0" w:color="157FCC"/>
                    <w:right w:val="none" w:sz="0" w:space="0" w:color="157FCC"/>
                  </w:divBdr>
                  <w:divsChild>
                    <w:div w:id="19204913">
                      <w:marLeft w:val="0"/>
                      <w:marRight w:val="0"/>
                      <w:marTop w:val="0"/>
                      <w:marBottom w:val="0"/>
                      <w:divBdr>
                        <w:top w:val="single" w:sz="6" w:space="0" w:color="157FCC"/>
                        <w:left w:val="single" w:sz="6" w:space="0" w:color="157FCC"/>
                        <w:bottom w:val="single" w:sz="6" w:space="0" w:color="157FCC"/>
                        <w:right w:val="single" w:sz="6" w:space="0" w:color="157FCC"/>
                      </w:divBdr>
                      <w:divsChild>
                        <w:div w:id="507140376">
                          <w:marLeft w:val="0"/>
                          <w:marRight w:val="0"/>
                          <w:marTop w:val="0"/>
                          <w:marBottom w:val="0"/>
                          <w:divBdr>
                            <w:top w:val="none" w:sz="0" w:space="0" w:color="157FCC"/>
                            <w:left w:val="none" w:sz="0" w:space="0" w:color="157FCC"/>
                            <w:bottom w:val="none" w:sz="0" w:space="0" w:color="157FCC"/>
                            <w:right w:val="none" w:sz="0" w:space="0" w:color="157FCC"/>
                          </w:divBdr>
                          <w:divsChild>
                            <w:div w:id="38436350">
                              <w:marLeft w:val="0"/>
                              <w:marRight w:val="0"/>
                              <w:marTop w:val="0"/>
                              <w:marBottom w:val="0"/>
                              <w:divBdr>
                                <w:top w:val="single" w:sz="6" w:space="0" w:color="157FCC"/>
                                <w:left w:val="single" w:sz="6" w:space="0" w:color="157FCC"/>
                                <w:bottom w:val="single" w:sz="6" w:space="0" w:color="157FCC"/>
                                <w:right w:val="single" w:sz="6" w:space="0" w:color="157FCC"/>
                              </w:divBdr>
                              <w:divsChild>
                                <w:div w:id="2064598284">
                                  <w:marLeft w:val="0"/>
                                  <w:marRight w:val="0"/>
                                  <w:marTop w:val="0"/>
                                  <w:marBottom w:val="0"/>
                                  <w:divBdr>
                                    <w:top w:val="none" w:sz="0" w:space="0" w:color="auto"/>
                                    <w:left w:val="none" w:sz="0" w:space="0" w:color="auto"/>
                                    <w:bottom w:val="none" w:sz="0" w:space="0" w:color="auto"/>
                                    <w:right w:val="none" w:sz="0" w:space="0" w:color="auto"/>
                                  </w:divBdr>
                                  <w:divsChild>
                                    <w:div w:id="1717656215">
                                      <w:marLeft w:val="0"/>
                                      <w:marRight w:val="0"/>
                                      <w:marTop w:val="0"/>
                                      <w:marBottom w:val="0"/>
                                      <w:divBdr>
                                        <w:top w:val="none" w:sz="0" w:space="0" w:color="157FCC"/>
                                        <w:left w:val="none" w:sz="0" w:space="0" w:color="157FCC"/>
                                        <w:bottom w:val="none" w:sz="0" w:space="0" w:color="157FCC"/>
                                        <w:right w:val="none" w:sz="0" w:space="0" w:color="157FCC"/>
                                      </w:divBdr>
                                      <w:divsChild>
                                        <w:div w:id="1625428232">
                                          <w:marLeft w:val="0"/>
                                          <w:marRight w:val="0"/>
                                          <w:marTop w:val="0"/>
                                          <w:marBottom w:val="0"/>
                                          <w:divBdr>
                                            <w:top w:val="single" w:sz="6" w:space="0" w:color="157FCC"/>
                                            <w:left w:val="single" w:sz="6" w:space="0" w:color="157FCC"/>
                                            <w:bottom w:val="single" w:sz="6" w:space="0" w:color="157FCC"/>
                                            <w:right w:val="single" w:sz="6" w:space="0" w:color="157FCC"/>
                                          </w:divBdr>
                                          <w:divsChild>
                                            <w:div w:id="621303403">
                                              <w:marLeft w:val="0"/>
                                              <w:marRight w:val="0"/>
                                              <w:marTop w:val="0"/>
                                              <w:marBottom w:val="0"/>
                                              <w:divBdr>
                                                <w:top w:val="none" w:sz="0" w:space="0" w:color="auto"/>
                                                <w:left w:val="none" w:sz="0" w:space="0" w:color="auto"/>
                                                <w:bottom w:val="none" w:sz="0" w:space="0" w:color="auto"/>
                                                <w:right w:val="none" w:sz="0" w:space="0" w:color="auto"/>
                                              </w:divBdr>
                                              <w:divsChild>
                                                <w:div w:id="38125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7159</Words>
  <Characters>40807</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47871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Атаманова Инна Олеговна</cp:lastModifiedBy>
  <cp:revision>4</cp:revision>
  <dcterms:created xsi:type="dcterms:W3CDTF">2025-03-19T10:55:00Z</dcterms:created>
  <dcterms:modified xsi:type="dcterms:W3CDTF">2025-04-17T07:18:00Z</dcterms:modified>
</cp:coreProperties>
</file>