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ПОСТАНОВЛЕНИЕ</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15.07.2025                         с. Становое                                 № 359</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7422FC">
        <w:rPr>
          <w:rFonts w:ascii="Arial" w:eastAsia="Times New Roman" w:hAnsi="Arial" w:cs="Arial"/>
          <w:b/>
          <w:bCs/>
          <w:kern w:val="36"/>
          <w:sz w:val="32"/>
          <w:szCs w:val="32"/>
          <w:lang w:eastAsia="ru-RU"/>
        </w:rPr>
        <w:t>Об утверждении Порядка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Рассмотрев Протест прокуратуры Становлянского округа Липецкой области </w:t>
      </w:r>
      <w:hyperlink r:id="rId4" w:history="1">
        <w:r w:rsidRPr="007422FC">
          <w:rPr>
            <w:rFonts w:ascii="Arial" w:eastAsia="Times New Roman" w:hAnsi="Arial" w:cs="Arial"/>
            <w:sz w:val="24"/>
            <w:szCs w:val="24"/>
            <w:lang w:eastAsia="ru-RU"/>
          </w:rPr>
          <w:t>от 16 июня 2025 года № 38-2025</w:t>
        </w:r>
      </w:hyperlink>
      <w:r w:rsidRPr="007422FC">
        <w:rPr>
          <w:rFonts w:ascii="Arial" w:eastAsia="Times New Roman" w:hAnsi="Arial" w:cs="Arial"/>
          <w:sz w:val="24"/>
          <w:szCs w:val="24"/>
          <w:lang w:eastAsia="ru-RU"/>
        </w:rPr>
        <w:t>, в соответствии со статьями 47.2, 160.1 </w:t>
      </w:r>
      <w:hyperlink r:id="rId5" w:history="1">
        <w:r w:rsidRPr="007422FC">
          <w:rPr>
            <w:rFonts w:ascii="Arial" w:eastAsia="Times New Roman" w:hAnsi="Arial" w:cs="Arial"/>
            <w:sz w:val="24"/>
            <w:szCs w:val="24"/>
            <w:lang w:eastAsia="ru-RU"/>
          </w:rPr>
          <w:t>Бюджетного кодекса Российской Федерации</w:t>
        </w:r>
      </w:hyperlink>
      <w:r w:rsidRPr="007422FC">
        <w:rPr>
          <w:rFonts w:ascii="Arial" w:eastAsia="Times New Roman" w:hAnsi="Arial" w:cs="Arial"/>
          <w:sz w:val="24"/>
          <w:szCs w:val="24"/>
          <w:lang w:eastAsia="ru-RU"/>
        </w:rPr>
        <w:t>, постановлением Правительства Российской Федерации </w:t>
      </w:r>
      <w:hyperlink r:id="rId6" w:history="1">
        <w:r w:rsidRPr="007422FC">
          <w:rPr>
            <w:rFonts w:ascii="Arial" w:eastAsia="Times New Roman" w:hAnsi="Arial" w:cs="Arial"/>
            <w:sz w:val="24"/>
            <w:szCs w:val="24"/>
            <w:lang w:eastAsia="ru-RU"/>
          </w:rPr>
          <w:t>от 6 мая 2016 года № 393</w:t>
        </w:r>
      </w:hyperlink>
      <w:r w:rsidRPr="007422FC">
        <w:rPr>
          <w:rFonts w:ascii="Arial" w:eastAsia="Times New Roman" w:hAnsi="Arial" w:cs="Arial"/>
          <w:sz w:val="24"/>
          <w:szCs w:val="24"/>
          <w:lang w:eastAsia="ru-RU"/>
        </w:rPr>
        <w:t>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Становлянского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ПОСТАНОВЛЯЕТ: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 Утвердить Порядок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 (приложение).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 Настоящее постановление вступает в силу со дня его официального опубликования.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Глава администрации Становлянского округа</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Д.Ю. Семянников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Приложение к постановлению администрации Становлянского муниципального округа Липецкой области Российской Федерации от 15.07.2025 № 359  </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7422FC">
        <w:rPr>
          <w:rFonts w:ascii="Arial" w:eastAsia="Times New Roman" w:hAnsi="Arial" w:cs="Arial"/>
          <w:b/>
          <w:bCs/>
          <w:kern w:val="36"/>
          <w:sz w:val="32"/>
          <w:szCs w:val="32"/>
          <w:lang w:eastAsia="ru-RU"/>
        </w:rPr>
        <w:t>Порядок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7422FC">
        <w:rPr>
          <w:rFonts w:ascii="Arial" w:eastAsia="Times New Roman" w:hAnsi="Arial" w:cs="Arial"/>
          <w:b/>
          <w:bCs/>
          <w:sz w:val="30"/>
          <w:szCs w:val="30"/>
          <w:lang w:eastAsia="ru-RU"/>
        </w:rPr>
        <w:t>1. Общие положения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xml:space="preserve">1.1. Порядок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 (далее - Порядок) устанавливает случаи признания безнадежной к взысканию задолженности по платежам в бюджет Становлянского муниципального округа Липецкой области Российской Федерации (далее - бюджет округа), перечень документов, подтверждающих наличие оснований для принятия решений о признании безнадежной к взысканию задолженности по </w:t>
      </w:r>
      <w:r w:rsidRPr="007422FC">
        <w:rPr>
          <w:rFonts w:ascii="Arial" w:eastAsia="Times New Roman" w:hAnsi="Arial" w:cs="Arial"/>
          <w:sz w:val="24"/>
          <w:szCs w:val="24"/>
          <w:lang w:eastAsia="ru-RU"/>
        </w:rPr>
        <w:lastRenderedPageBreak/>
        <w:t>платежам в бюджет округа, и порядок действия комиссии по принятию решений о признании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1.2. Под задолженностью по платежам в бюджет округа понимается начисленная и не уплаченная в срок недоимка по неналоговым доходам, подлежащим зачислению в бюджет округа, а также пени и штрафы за их просрочку.</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1.3. Порядок распространяется на следующие виды неналоговых доходов:</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 доходы от использования имущества, находящегося в государственной и муниципальной собственности;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 штрафы, санкции, возмещение ущерба.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1.4. Признание задолженности безнадежной к взысканию может производиться при условии применения всех мер к взысканию в соответствии с действующим законодательством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bookmarkStart w:id="0" w:name="_GoBack"/>
      <w:bookmarkEnd w:id="0"/>
      <w:r w:rsidRPr="007422FC">
        <w:rPr>
          <w:rFonts w:ascii="Arial" w:eastAsia="Times New Roman" w:hAnsi="Arial" w:cs="Arial"/>
          <w:sz w:val="24"/>
          <w:szCs w:val="24"/>
          <w:lang w:eastAsia="ru-RU"/>
        </w:rPr>
        <w:t>1.5. Списание задолженности осуществляется в соответствии с пунктом 5 статьи 47.2 </w:t>
      </w:r>
      <w:hyperlink r:id="rId7" w:history="1">
        <w:r w:rsidRPr="007422FC">
          <w:rPr>
            <w:rFonts w:ascii="Arial" w:eastAsia="Times New Roman" w:hAnsi="Arial" w:cs="Arial"/>
            <w:sz w:val="24"/>
            <w:szCs w:val="24"/>
            <w:lang w:eastAsia="ru-RU"/>
          </w:rPr>
          <w:t>Бюджетного кодекса Российской Федерации</w:t>
        </w:r>
      </w:hyperlink>
      <w:r w:rsidRPr="007422FC">
        <w:rPr>
          <w:rFonts w:ascii="Arial" w:eastAsia="Times New Roman" w:hAnsi="Arial" w:cs="Arial"/>
          <w:sz w:val="24"/>
          <w:szCs w:val="24"/>
          <w:lang w:eastAsia="ru-RU"/>
        </w:rPr>
        <w:t>.</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7422FC">
        <w:rPr>
          <w:rFonts w:ascii="Arial" w:eastAsia="Times New Roman" w:hAnsi="Arial" w:cs="Arial"/>
          <w:b/>
          <w:bCs/>
          <w:sz w:val="30"/>
          <w:szCs w:val="30"/>
          <w:lang w:eastAsia="ru-RU"/>
        </w:rPr>
        <w:t>2. Случаи признания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 Задолженность признается безнадежной к взысканию и подлежит списанию в случаях:</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2.1.2. завершения процедуры банкротства гражданина, индивидуального предпринимателя в соответствии с Федеральным законом </w:t>
      </w:r>
      <w:hyperlink r:id="rId8" w:history="1">
        <w:r w:rsidRPr="007422FC">
          <w:rPr>
            <w:rFonts w:ascii="Arial" w:eastAsia="Times New Roman" w:hAnsi="Arial" w:cs="Arial"/>
            <w:sz w:val="24"/>
            <w:szCs w:val="24"/>
            <w:lang w:eastAsia="ru-RU"/>
          </w:rPr>
          <w:t>от 26 октября 2002 года № 127-ФЗ</w:t>
        </w:r>
      </w:hyperlink>
      <w:r w:rsidRPr="007422FC">
        <w:rPr>
          <w:rFonts w:ascii="Arial" w:eastAsia="Times New Roman" w:hAnsi="Arial" w:cs="Arial"/>
          <w:sz w:val="24"/>
          <w:szCs w:val="24"/>
          <w:lang w:eastAsia="ru-RU"/>
        </w:rPr>
        <w:t>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пунктом 3 или 4 части 1 статьи 46 Федерального закона </w:t>
      </w:r>
      <w:hyperlink r:id="rId9" w:history="1">
        <w:r w:rsidRPr="007422FC">
          <w:rPr>
            <w:rFonts w:ascii="Arial" w:eastAsia="Times New Roman" w:hAnsi="Arial" w:cs="Arial"/>
            <w:sz w:val="24"/>
            <w:szCs w:val="24"/>
            <w:lang w:eastAsia="ru-RU"/>
          </w:rPr>
          <w:t>от 2 октября 2007 года № 229-ФЗ</w:t>
        </w:r>
      </w:hyperlink>
      <w:r w:rsidRPr="007422FC">
        <w:rPr>
          <w:rFonts w:ascii="Arial" w:eastAsia="Times New Roman" w:hAnsi="Arial" w:cs="Arial"/>
          <w:sz w:val="24"/>
          <w:szCs w:val="24"/>
          <w:lang w:eastAsia="ru-RU"/>
        </w:rPr>
        <w:t>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2.1.6.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xml:space="preserve">2.1.7. исключения юридического лица по решению регистрирующего органа из единого государственного реестра юридических лиц и наличия ранее вынесенного </w:t>
      </w:r>
      <w:r w:rsidRPr="007422FC">
        <w:rPr>
          <w:rFonts w:ascii="Arial" w:eastAsia="Times New Roman" w:hAnsi="Arial" w:cs="Arial"/>
          <w:sz w:val="24"/>
          <w:szCs w:val="24"/>
          <w:lang w:eastAsia="ru-RU"/>
        </w:rPr>
        <w:lastRenderedPageBreak/>
        <w:t>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w:t>
      </w:r>
      <w:hyperlink r:id="rId10" w:history="1">
        <w:r w:rsidRPr="007422FC">
          <w:rPr>
            <w:rFonts w:ascii="Arial" w:eastAsia="Times New Roman" w:hAnsi="Arial" w:cs="Arial"/>
            <w:sz w:val="24"/>
            <w:szCs w:val="24"/>
            <w:lang w:eastAsia="ru-RU"/>
          </w:rPr>
          <w:t>от 2 октября 2007 года № 229-ФЗ</w:t>
        </w:r>
      </w:hyperlink>
      <w:r w:rsidRPr="007422FC">
        <w:rPr>
          <w:rFonts w:ascii="Arial" w:eastAsia="Times New Roman" w:hAnsi="Arial" w:cs="Arial"/>
          <w:sz w:val="24"/>
          <w:szCs w:val="24"/>
          <w:lang w:eastAsia="ru-RU"/>
        </w:rPr>
        <w:t>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w:t>
      </w:r>
      <w:hyperlink r:id="rId11" w:history="1">
        <w:r w:rsidRPr="007422FC">
          <w:rPr>
            <w:rFonts w:ascii="Arial" w:eastAsia="Times New Roman" w:hAnsi="Arial" w:cs="Arial"/>
            <w:sz w:val="24"/>
            <w:szCs w:val="24"/>
            <w:lang w:eastAsia="ru-RU"/>
          </w:rPr>
          <w:t>от 8 августа 2001 года № 129-ФЗ</w:t>
        </w:r>
      </w:hyperlink>
      <w:r w:rsidRPr="007422FC">
        <w:rPr>
          <w:rFonts w:ascii="Arial" w:eastAsia="Times New Roman" w:hAnsi="Arial" w:cs="Arial"/>
          <w:sz w:val="24"/>
          <w:szCs w:val="24"/>
          <w:lang w:eastAsia="ru-RU"/>
        </w:rPr>
        <w:t>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2.2. Наряду со случаями, предусмотренными пунктом 2.1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7422FC">
        <w:rPr>
          <w:rFonts w:ascii="Arial" w:eastAsia="Times New Roman" w:hAnsi="Arial" w:cs="Arial"/>
          <w:b/>
          <w:bCs/>
          <w:sz w:val="30"/>
          <w:szCs w:val="30"/>
          <w:lang w:eastAsia="ru-RU"/>
        </w:rPr>
        <w:t>3. Перечень документов, подтверждающих наличие оснований для принятия решений о признании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3.1. Документы, подтверждающие наличие оснований для принятия решений о признании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3.1.1. справка администратора доходов бюджета об учитываемых суммах задолженности по уплате платежей в бюджеты бюджетной системы Российской Федерации (приложение 1 к настоящему Порядку);</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3.1.2.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статьей 160.1 </w:t>
      </w:r>
      <w:hyperlink r:id="rId12" w:history="1">
        <w:r w:rsidRPr="007422FC">
          <w:rPr>
            <w:rFonts w:ascii="Arial" w:eastAsia="Times New Roman" w:hAnsi="Arial" w:cs="Arial"/>
            <w:sz w:val="24"/>
            <w:szCs w:val="24"/>
            <w:lang w:eastAsia="ru-RU"/>
          </w:rPr>
          <w:t>Бюджетного кодекса Российской Федерации</w:t>
        </w:r>
      </w:hyperlink>
      <w:r w:rsidRPr="007422FC">
        <w:rPr>
          <w:rFonts w:ascii="Arial" w:eastAsia="Times New Roman" w:hAnsi="Arial" w:cs="Arial"/>
          <w:sz w:val="24"/>
          <w:szCs w:val="24"/>
          <w:lang w:eastAsia="ru-RU"/>
        </w:rPr>
        <w:t>;</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3.1.3. документы, подтверждающие случаи признания безнадежной к взысканию задолженности по платежам в бюджет округа, в том числе: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 документ, свидетельствующий о смерти физического лица - плательщика платежей в бюджет округа или подтверждающий факт объявления его умершим;</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 судебный акт о завершении конкурсного производства или завершении реализации имущества гражданина - плательщика платежей в бюджет округа,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округа деятельности в качестве индивидуального предпринимателя в связи с принятием судебного акта о признании его несостоятельным (банкротом);</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 судебный акт о завершении конкурсного производства или завершении реализации имущества гражданина - плательщика платежей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 документ, содержащий сведения из ЕГРЮЛ о прекращении деятельности в связи с ликвидацией организации - плательщика платежей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lastRenderedPageBreak/>
        <w:t>5) документ, содержащий сведения из ЕГРЮЛ об исключении юридического лица - плательщика платежей в бюджет округа из указанного реестра по решению регистрирующего органа;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6) 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7) 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"Об исполнительном производстве";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8) 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9) постановление о прекращении исполнения постановления о назначении административного наказания;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10) документ, содержащий сведения из Единого федерального реестра сведений о банкротстве о завершении процедуры внесудебного банкротства гражданина.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7422FC">
        <w:rPr>
          <w:rFonts w:ascii="Arial" w:eastAsia="Times New Roman" w:hAnsi="Arial" w:cs="Arial"/>
          <w:b/>
          <w:bCs/>
          <w:sz w:val="30"/>
          <w:szCs w:val="30"/>
          <w:lang w:eastAsia="ru-RU"/>
        </w:rPr>
        <w:t>4. Порядок принятия решений о признании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4.1. В целях подготовки и принятия решений о признании безнадежной к взысканию задолженности по платежам в бюджет округа администратором доходов бюджета создается постоянно действующая комиссия в составе не менее пяти человек.</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4.2. Состав комиссии утверждается распоряжением администратора доходов бюджета. В состав комиссии входят председатель комиссии, заместитель председателя комиссии, секретарь комиссии, члены комиссии.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4.3. Работа комиссии осуществляется на ее заседаниях, которые проводятся по мере необходимости, но не реже одного раза в год при наличии одного из оснований и документов, указанных в пунктах 2 - 3 настоящего Порядка.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4.4. Комиссия правомочна осуществлять свои функции, если на заседании комиссии присутствуют не менее двух третей от общего числа членов комиссии.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4.5. Председатель комиссии осуществляет руководство деятельностью комиссии. В отсутствие председателя комиссии его обязанности осуществляет заместитель председателя комиссии.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Секретарь комиссии ведет протокол заседания комиссии, осуществляет подготовку заседаний комиссии, информирует членов комиссии по всем вопросам, относящимся к заседанию комиссии, в том числе своевременно уведомляет их о месте, дате и времени проведения заседаний комиссии и обеспечивает членов комиссии необходимыми материалами и документами.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4.6. Решения комиссии принимаются путем открытого голосования простым большинством голосов от общего числа присутствующих на заседании членов комиссии. При голосовании каждый член комиссии имеет один голос. При равенстве голосов голос председателя комиссии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4.7. Срок рассмотрения комиссией документов, представленных администратором доходов бюджета на соответствие пунктам 2 - 4 настоящего Порядка, не должен превышать пяти рабочих дней.</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lastRenderedPageBreak/>
        <w:t>4.8. По итогам заседания комиссии в течение трех рабочих дней оформляется протокол, который подписывается всеми присутствующими на заседании членами комиссии, и подготавливается проект решения о признании безнадежной к взысканию задолженности по платежам в бюджет округа (далее - проект решения).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4.9. Проект решения оформляется актом о признании безнадежной к взысканию задолженности по платежам в бюджет округа (далее - Акт) и утверждается руководителем администратора доходов бюджета (приложение 2 к настоящему Порядку).</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4.10. Акт должен содержать следующие сведения:</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1) полное наименование организации (фамилия, имя, отчество физического лица);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2)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3) сведения о платеже, по которому возникла задолженность;</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4) код классификации доходов бюджетов Российской Федерации, по которому учитывается задолженность по платежам в бюджет округа, его наименование;</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5) сумма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6) сумма задолженности по пеням и штрафам по соответствующим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7) дата принятия решения о признании безнадежной к взысканию задолженности по платежам в бюджет округа;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8) подписи членов комиссии.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Приложение 1 к Порядку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СПРАВКА</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(АДМИНИСТРАТОР ДОХОДОВ)</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ОБ УЧИТЫВАЕМЫХ СУММАХ ЗАДОЛЖЕННОСТИ ПО УПЛАТЕ ПЛАТЕЖЕЙ В БЮДЖЕТ СТАНОВЛЯНСКОГО МУНИЦИПАЛЬНОГО ОКРУГА ЛИПЕЦКОЙ ОБЛАСТИ</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(наименование организации, ИНН/КПП, Ф.И.О. физического лица, ИНН при наличии)</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по состоянию на _________________________ года</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(руб.)</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43"/>
        <w:gridCol w:w="1004"/>
        <w:gridCol w:w="1121"/>
        <w:gridCol w:w="2238"/>
        <w:gridCol w:w="1943"/>
        <w:gridCol w:w="998"/>
        <w:gridCol w:w="647"/>
        <w:gridCol w:w="1056"/>
      </w:tblGrid>
      <w:tr w:rsidR="007422FC" w:rsidRPr="007422FC" w:rsidTr="007422F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w:t>
            </w:r>
          </w:p>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п/п</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Вид дохода</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Код дохода по БК</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Срок возникновения задолженности</w:t>
            </w:r>
          </w:p>
        </w:tc>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Всего задолженность</w:t>
            </w:r>
          </w:p>
        </w:tc>
        <w:tc>
          <w:tcPr>
            <w:tcW w:w="0" w:type="auto"/>
            <w:gridSpan w:val="3"/>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В том числе</w:t>
            </w:r>
          </w:p>
        </w:tc>
      </w:tr>
      <w:tr w:rsidR="007422FC" w:rsidRPr="007422FC" w:rsidTr="007422F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22FC" w:rsidRPr="007422FC" w:rsidRDefault="007422FC" w:rsidP="007422F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22FC" w:rsidRPr="007422FC" w:rsidRDefault="007422FC" w:rsidP="007422F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22FC" w:rsidRPr="007422FC" w:rsidRDefault="007422FC" w:rsidP="007422F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22FC" w:rsidRPr="007422FC" w:rsidRDefault="007422FC" w:rsidP="007422FC">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22FC" w:rsidRPr="007422FC" w:rsidRDefault="007422FC" w:rsidP="007422FC">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вид дохода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пени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штрафы</w:t>
            </w:r>
          </w:p>
        </w:tc>
      </w:tr>
      <w:tr w:rsidR="007422FC" w:rsidRPr="007422FC" w:rsidTr="007422F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r>
      <w:tr w:rsidR="007422FC" w:rsidRPr="007422FC" w:rsidTr="007422F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r>
      <w:tr w:rsidR="007422FC" w:rsidRPr="007422FC" w:rsidTr="007422F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r>
      <w:tr w:rsidR="007422FC" w:rsidRPr="007422FC" w:rsidTr="007422FC">
        <w:tc>
          <w:tcPr>
            <w:tcW w:w="0" w:type="auto"/>
            <w:gridSpan w:val="2"/>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422FC" w:rsidRPr="007422FC" w:rsidRDefault="007422FC" w:rsidP="007422FC">
            <w:pPr>
              <w:spacing w:after="0" w:line="240" w:lineRule="auto"/>
              <w:rPr>
                <w:rFonts w:ascii="Arial" w:eastAsia="Times New Roman" w:hAnsi="Arial" w:cs="Arial"/>
                <w:sz w:val="24"/>
                <w:szCs w:val="24"/>
                <w:lang w:eastAsia="ru-RU"/>
              </w:rPr>
            </w:pPr>
            <w:r w:rsidRPr="007422FC">
              <w:rPr>
                <w:rFonts w:ascii="Arial" w:eastAsia="Times New Roman" w:hAnsi="Arial" w:cs="Arial"/>
                <w:sz w:val="24"/>
                <w:szCs w:val="24"/>
                <w:lang w:eastAsia="ru-RU"/>
              </w:rPr>
              <w:t> </w:t>
            </w:r>
          </w:p>
        </w:tc>
      </w:tr>
    </w:tbl>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lastRenderedPageBreak/>
        <w:t>Руководитель ______________ 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roofErr w:type="gramStart"/>
      <w:r w:rsidRPr="007422FC">
        <w:rPr>
          <w:rFonts w:ascii="Arial" w:eastAsia="Times New Roman" w:hAnsi="Arial" w:cs="Arial"/>
          <w:sz w:val="24"/>
          <w:szCs w:val="24"/>
          <w:lang w:eastAsia="ru-RU"/>
        </w:rPr>
        <w:t>подпись)   </w:t>
      </w:r>
      <w:proofErr w:type="gramEnd"/>
      <w:r w:rsidRPr="007422FC">
        <w:rPr>
          <w:rFonts w:ascii="Arial" w:eastAsia="Times New Roman" w:hAnsi="Arial" w:cs="Arial"/>
          <w:sz w:val="24"/>
          <w:szCs w:val="24"/>
          <w:lang w:eastAsia="ru-RU"/>
        </w:rPr>
        <w:t>                 (Ф.И.О.)</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МП</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Приложение 2 к Порядку принятия решений о признании безнадежной к взысканию задолженности по платежам в бюджет Становлянского муниципального округа Липецкой области Российской Федерации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right"/>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УТВЕРЖДАЮ:</w:t>
      </w:r>
    </w:p>
    <w:p w:rsidR="007422FC" w:rsidRPr="007422FC" w:rsidRDefault="007422FC" w:rsidP="007422FC">
      <w:pPr>
        <w:shd w:val="clear" w:color="auto" w:fill="FFFFFF"/>
        <w:spacing w:after="0" w:line="240" w:lineRule="auto"/>
        <w:ind w:firstLine="567"/>
        <w:jc w:val="right"/>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w:t>
      </w:r>
    </w:p>
    <w:p w:rsidR="007422FC" w:rsidRPr="007422FC" w:rsidRDefault="007422FC" w:rsidP="007422FC">
      <w:pPr>
        <w:shd w:val="clear" w:color="auto" w:fill="FFFFFF"/>
        <w:spacing w:after="0" w:line="240" w:lineRule="auto"/>
        <w:ind w:firstLine="567"/>
        <w:jc w:val="right"/>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АКТ</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о признании безнадежной к взысканию задолженности</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по платежам в бюджет № 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center"/>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с. Становое                                                                        "__" _____________ 20__ г.</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Комиссия по рассмотрению вопросов о признании безнадежной к взысканию задолженности по платежам в бюджет Становлянского муниципального округа Липецкой области, рассмотрев документы, подтверждающие наличие оснований для принятия решения о признании безнадежной к взысканию задолженности по платежам в бюджет округа в отношении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полное наименование организации (ФИО физического лица)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ОГРН/ИНН/КПП налогоплательщика организации (ИНН налогоплательщика - физического лица)</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Сведения о платеже, по которому возникла задолженность</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Код и наименование классификации доходов бюджетов Российской Федерации, по которому учитывается задолженность по платежам в бюджет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Сумма задолженности по платежам в бюджет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____________________________________________________________________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Сумма задолженности по пеням и штрафам по соответствующим платежам в бюджет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На основании рассмотренных документов, руководствуясь ст. 47.2 </w:t>
      </w:r>
      <w:hyperlink r:id="rId13" w:history="1">
        <w:r w:rsidRPr="007422FC">
          <w:rPr>
            <w:rFonts w:ascii="Arial" w:eastAsia="Times New Roman" w:hAnsi="Arial" w:cs="Arial"/>
            <w:sz w:val="24"/>
            <w:szCs w:val="24"/>
            <w:lang w:eastAsia="ru-RU"/>
          </w:rPr>
          <w:t>Бюджетного кодекса Российской Федерации</w:t>
        </w:r>
      </w:hyperlink>
      <w:r w:rsidRPr="007422FC">
        <w:rPr>
          <w:rFonts w:ascii="Arial" w:eastAsia="Times New Roman" w:hAnsi="Arial" w:cs="Arial"/>
          <w:sz w:val="24"/>
          <w:szCs w:val="24"/>
          <w:lang w:eastAsia="ru-RU"/>
        </w:rPr>
        <w:t>, Порядком принятия решений о признании безнадежной к взысканию задолженности по платежам в бюджет Становлянского муниципального округа Липецкой области, утв. Постановлением администрации Становлянского муниципального округа от __________ № __________, комиссия решила: Признать задолженность в общей сумме ______________________________________ безнадежной к взысканию по платежам в бюджет.</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 </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Подписи членов комиссии:</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Председатель: 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Заместитель председателя: ______________________________________</w:t>
      </w:r>
    </w:p>
    <w:p w:rsidR="007422FC"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t>Секретарь комиссии: ______________________________________</w:t>
      </w:r>
    </w:p>
    <w:p w:rsidR="00725FEF" w:rsidRPr="007422FC" w:rsidRDefault="007422FC" w:rsidP="007422FC">
      <w:pPr>
        <w:shd w:val="clear" w:color="auto" w:fill="FFFFFF"/>
        <w:spacing w:after="0" w:line="240" w:lineRule="auto"/>
        <w:ind w:firstLine="567"/>
        <w:jc w:val="both"/>
        <w:textAlignment w:val="top"/>
        <w:rPr>
          <w:rFonts w:ascii="Arial" w:eastAsia="Times New Roman" w:hAnsi="Arial" w:cs="Arial"/>
          <w:sz w:val="24"/>
          <w:szCs w:val="24"/>
          <w:lang w:eastAsia="ru-RU"/>
        </w:rPr>
      </w:pPr>
      <w:r w:rsidRPr="007422FC">
        <w:rPr>
          <w:rFonts w:ascii="Arial" w:eastAsia="Times New Roman" w:hAnsi="Arial" w:cs="Arial"/>
          <w:sz w:val="24"/>
          <w:szCs w:val="24"/>
          <w:lang w:eastAsia="ru-RU"/>
        </w:rPr>
        <w:lastRenderedPageBreak/>
        <w:t>Члены: ______________________________________</w:t>
      </w:r>
    </w:p>
    <w:sectPr w:rsidR="00725FEF" w:rsidRPr="007422FC"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2FC"/>
    <w:rsid w:val="006A4883"/>
    <w:rsid w:val="006B2C9A"/>
    <w:rsid w:val="00725FEF"/>
    <w:rsid w:val="007422FC"/>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F985C"/>
  <w15:chartTrackingRefBased/>
  <w15:docId w15:val="{7FF99577-47E6-4582-AAED-036E302A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458352">
      <w:bodyDiv w:val="1"/>
      <w:marLeft w:val="0"/>
      <w:marRight w:val="0"/>
      <w:marTop w:val="0"/>
      <w:marBottom w:val="0"/>
      <w:divBdr>
        <w:top w:val="none" w:sz="0" w:space="0" w:color="auto"/>
        <w:left w:val="none" w:sz="0" w:space="0" w:color="auto"/>
        <w:bottom w:val="none" w:sz="0" w:space="0" w:color="auto"/>
        <w:right w:val="none" w:sz="0" w:space="0" w:color="auto"/>
      </w:divBdr>
      <w:divsChild>
        <w:div w:id="526599175">
          <w:marLeft w:val="0"/>
          <w:marRight w:val="0"/>
          <w:marTop w:val="0"/>
          <w:marBottom w:val="0"/>
          <w:divBdr>
            <w:top w:val="none" w:sz="0" w:space="0" w:color="157FCC"/>
            <w:left w:val="none" w:sz="0" w:space="0" w:color="157FCC"/>
            <w:bottom w:val="none" w:sz="0" w:space="0" w:color="157FCC"/>
            <w:right w:val="none" w:sz="0" w:space="0" w:color="157FCC"/>
          </w:divBdr>
          <w:divsChild>
            <w:div w:id="1180856142">
              <w:marLeft w:val="0"/>
              <w:marRight w:val="0"/>
              <w:marTop w:val="0"/>
              <w:marBottom w:val="0"/>
              <w:divBdr>
                <w:top w:val="single" w:sz="6" w:space="0" w:color="157FCC"/>
                <w:left w:val="single" w:sz="6" w:space="0" w:color="157FCC"/>
                <w:bottom w:val="single" w:sz="6" w:space="0" w:color="157FCC"/>
                <w:right w:val="single" w:sz="6" w:space="0" w:color="157FCC"/>
              </w:divBdr>
              <w:divsChild>
                <w:div w:id="1498956303">
                  <w:marLeft w:val="0"/>
                  <w:marRight w:val="0"/>
                  <w:marTop w:val="0"/>
                  <w:marBottom w:val="0"/>
                  <w:divBdr>
                    <w:top w:val="none" w:sz="0" w:space="0" w:color="157FCC"/>
                    <w:left w:val="none" w:sz="0" w:space="0" w:color="157FCC"/>
                    <w:bottom w:val="none" w:sz="0" w:space="0" w:color="157FCC"/>
                    <w:right w:val="none" w:sz="0" w:space="0" w:color="157FCC"/>
                  </w:divBdr>
                  <w:divsChild>
                    <w:div w:id="67702637">
                      <w:marLeft w:val="0"/>
                      <w:marRight w:val="0"/>
                      <w:marTop w:val="0"/>
                      <w:marBottom w:val="0"/>
                      <w:divBdr>
                        <w:top w:val="single" w:sz="6" w:space="0" w:color="157FCC"/>
                        <w:left w:val="single" w:sz="6" w:space="0" w:color="157FCC"/>
                        <w:bottom w:val="single" w:sz="6" w:space="0" w:color="157FCC"/>
                        <w:right w:val="single" w:sz="6" w:space="0" w:color="157FCC"/>
                      </w:divBdr>
                      <w:divsChild>
                        <w:div w:id="1568685531">
                          <w:marLeft w:val="0"/>
                          <w:marRight w:val="0"/>
                          <w:marTop w:val="0"/>
                          <w:marBottom w:val="0"/>
                          <w:divBdr>
                            <w:top w:val="none" w:sz="0" w:space="0" w:color="157FCC"/>
                            <w:left w:val="none" w:sz="0" w:space="0" w:color="157FCC"/>
                            <w:bottom w:val="none" w:sz="0" w:space="0" w:color="157FCC"/>
                            <w:right w:val="none" w:sz="0" w:space="0" w:color="157FCC"/>
                          </w:divBdr>
                          <w:divsChild>
                            <w:div w:id="757334912">
                              <w:marLeft w:val="0"/>
                              <w:marRight w:val="0"/>
                              <w:marTop w:val="0"/>
                              <w:marBottom w:val="0"/>
                              <w:divBdr>
                                <w:top w:val="single" w:sz="6" w:space="0" w:color="157FCC"/>
                                <w:left w:val="single" w:sz="6" w:space="0" w:color="157FCC"/>
                                <w:bottom w:val="single" w:sz="6" w:space="0" w:color="157FCC"/>
                                <w:right w:val="single" w:sz="6" w:space="0" w:color="157FCC"/>
                              </w:divBdr>
                              <w:divsChild>
                                <w:div w:id="538857725">
                                  <w:marLeft w:val="0"/>
                                  <w:marRight w:val="0"/>
                                  <w:marTop w:val="0"/>
                                  <w:marBottom w:val="0"/>
                                  <w:divBdr>
                                    <w:top w:val="none" w:sz="0" w:space="0" w:color="auto"/>
                                    <w:left w:val="none" w:sz="0" w:space="0" w:color="auto"/>
                                    <w:bottom w:val="none" w:sz="0" w:space="0" w:color="auto"/>
                                    <w:right w:val="none" w:sz="0" w:space="0" w:color="auto"/>
                                  </w:divBdr>
                                  <w:divsChild>
                                    <w:div w:id="1753894448">
                                      <w:marLeft w:val="0"/>
                                      <w:marRight w:val="0"/>
                                      <w:marTop w:val="0"/>
                                      <w:marBottom w:val="0"/>
                                      <w:divBdr>
                                        <w:top w:val="none" w:sz="0" w:space="0" w:color="157FCC"/>
                                        <w:left w:val="none" w:sz="0" w:space="0" w:color="157FCC"/>
                                        <w:bottom w:val="none" w:sz="0" w:space="0" w:color="157FCC"/>
                                        <w:right w:val="none" w:sz="0" w:space="0" w:color="157FCC"/>
                                      </w:divBdr>
                                      <w:divsChild>
                                        <w:div w:id="928731014">
                                          <w:marLeft w:val="0"/>
                                          <w:marRight w:val="0"/>
                                          <w:marTop w:val="0"/>
                                          <w:marBottom w:val="0"/>
                                          <w:divBdr>
                                            <w:top w:val="single" w:sz="6" w:space="0" w:color="157FCC"/>
                                            <w:left w:val="single" w:sz="6" w:space="0" w:color="157FCC"/>
                                            <w:bottom w:val="single" w:sz="6" w:space="0" w:color="157FCC"/>
                                            <w:right w:val="single" w:sz="6" w:space="0" w:color="157FCC"/>
                                          </w:divBdr>
                                          <w:divsChild>
                                            <w:div w:id="1578173558">
                                              <w:marLeft w:val="0"/>
                                              <w:marRight w:val="0"/>
                                              <w:marTop w:val="0"/>
                                              <w:marBottom w:val="0"/>
                                              <w:divBdr>
                                                <w:top w:val="none" w:sz="0" w:space="0" w:color="auto"/>
                                                <w:left w:val="none" w:sz="0" w:space="0" w:color="auto"/>
                                                <w:bottom w:val="none" w:sz="0" w:space="0" w:color="auto"/>
                                                <w:right w:val="none" w:sz="0" w:space="0" w:color="auto"/>
                                              </w:divBdr>
                                              <w:divsChild>
                                                <w:div w:id="67562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theme" Target="theme/theme1.xm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2577</Words>
  <Characters>14690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2025-07-18T11:01:00Z</dcterms:created>
  <dcterms:modified xsi:type="dcterms:W3CDTF">2025-07-18T11:02:00Z</dcterms:modified>
</cp:coreProperties>
</file>