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658C" w:rsidRPr="0051658C" w:rsidRDefault="0051658C" w:rsidP="0051658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ПОСТАНОВЛЕНИЕ</w:t>
      </w:r>
    </w:p>
    <w:p w:rsidR="0051658C" w:rsidRPr="0051658C" w:rsidRDefault="0051658C" w:rsidP="0051658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АДМИНИСТРАЦИИ СТАНОВЛЯНСКОГО МУНИЦИПАЛЬНОГО ОКРУГА ЛИПЕЦКОЙ ОБЛАСТИ РОССИЙСКОЙ ФЕДЕРАЦИИ</w:t>
      </w:r>
    </w:p>
    <w:p w:rsidR="0051658C" w:rsidRPr="0051658C" w:rsidRDefault="0051658C" w:rsidP="0051658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17.06.2025                         с. Становое                                 № 307</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51658C">
        <w:rPr>
          <w:rFonts w:ascii="Arial" w:eastAsia="Times New Roman" w:hAnsi="Arial" w:cs="Arial"/>
          <w:b/>
          <w:bCs/>
          <w:kern w:val="36"/>
          <w:sz w:val="32"/>
          <w:szCs w:val="32"/>
          <w:lang w:eastAsia="ru-RU"/>
        </w:rPr>
        <w:t>О компенсационных и стимулирующих выплатах работникам муниципальных учреждений культуры Становлянского муниципального округа Липецкой области Российской Федерации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В соответствии с </w:t>
      </w:r>
      <w:hyperlink r:id="rId4" w:history="1">
        <w:r w:rsidRPr="0051658C">
          <w:rPr>
            <w:rFonts w:ascii="Arial" w:eastAsia="Times New Roman" w:hAnsi="Arial" w:cs="Arial"/>
            <w:sz w:val="24"/>
            <w:szCs w:val="24"/>
            <w:lang w:eastAsia="ru-RU"/>
          </w:rPr>
          <w:t>Трудовым кодексом Российской Федерации</w:t>
        </w:r>
      </w:hyperlink>
      <w:r w:rsidRPr="0051658C">
        <w:rPr>
          <w:rFonts w:ascii="Arial" w:eastAsia="Times New Roman" w:hAnsi="Arial" w:cs="Arial"/>
          <w:sz w:val="24"/>
          <w:szCs w:val="24"/>
          <w:lang w:eastAsia="ru-RU"/>
        </w:rPr>
        <w:t>, постановлением Правительства Липецкой области от 15 июня 2023 года № 303 "О компенсационных и стимулирующих выплатах работникам областных государственных учреждений культуры и туризма" и в целях усиления материальной заинтересованности работников в повышении эффективности труда, улучшении качества оказываемых ими услуг и выполняемых работ, администрация Становлянского округа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ПОСТАНОВЛЯЕТ:</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 Утвердить:</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1.1. Перечень и размеры выплат компенсационного характера работникам муниципальных учреждений культуры Становлянского муниципального округа Липецкой области Российской Федерации (приложение 1).</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1.2. Перечень выплат стимулирующего характера работникам муниципальных учреждений культуры Становлянского муниципального округа Липецкой области Российской Федерации (приложение 2).</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1.3. Условия и порядок установления выплат стимулирующего характера работникам муниципальных учреждений культуры Становлянского муниципального округа Липецкой области Российской Федерации (приложение 3).</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2. При наличии экономии средств по фонду оплаты труда работникам муниципальных учреждений культуры Становлянского муниципального округа Липецкой области Российской Федерации могут выплачиваться премии. Порядок и условия выплаты премий определяются локальным правовым актом учреждения.</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3. Контроль за исполнением настоящего постановления возложить на заместителя главы администрации Становлянского округа по социальным вопросам.</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4. Настоящее постановление вступает в силу со дня его официального опубликования.</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Глава администрации Становлянского округа</w:t>
      </w:r>
    </w:p>
    <w:p w:rsidR="0051658C" w:rsidRPr="0051658C" w:rsidRDefault="0051658C" w:rsidP="0051658C">
      <w:pPr>
        <w:shd w:val="clear" w:color="auto" w:fill="FFFFFF"/>
        <w:spacing w:after="0" w:line="240" w:lineRule="auto"/>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Д. Ю. Семянников</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Приложение 1 к постановлению администрации Становлянского муниципального округа Липецкой области Российской Федерации от 17.06.2025 № 307</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jc w:val="center"/>
        <w:textAlignment w:val="top"/>
        <w:outlineLvl w:val="1"/>
        <w:rPr>
          <w:rFonts w:ascii="Arial" w:eastAsia="Times New Roman" w:hAnsi="Arial" w:cs="Arial"/>
          <w:b/>
          <w:bCs/>
          <w:sz w:val="32"/>
          <w:szCs w:val="32"/>
          <w:lang w:eastAsia="ru-RU"/>
        </w:rPr>
      </w:pPr>
      <w:r w:rsidRPr="0051658C">
        <w:rPr>
          <w:rFonts w:ascii="Arial" w:eastAsia="Times New Roman" w:hAnsi="Arial" w:cs="Arial"/>
          <w:b/>
          <w:bCs/>
          <w:sz w:val="32"/>
          <w:szCs w:val="32"/>
          <w:lang w:eastAsia="ru-RU"/>
        </w:rPr>
        <w:t>Перечень и размеры выплат компенсационного характера работникам муниципа</w:t>
      </w:r>
      <w:bookmarkStart w:id="0" w:name="_GoBack"/>
      <w:bookmarkEnd w:id="0"/>
      <w:r w:rsidRPr="0051658C">
        <w:rPr>
          <w:rFonts w:ascii="Arial" w:eastAsia="Times New Roman" w:hAnsi="Arial" w:cs="Arial"/>
          <w:b/>
          <w:bCs/>
          <w:sz w:val="32"/>
          <w:szCs w:val="32"/>
          <w:lang w:eastAsia="ru-RU"/>
        </w:rPr>
        <w:t xml:space="preserve">льных учреждений культуры </w:t>
      </w:r>
      <w:r w:rsidRPr="0051658C">
        <w:rPr>
          <w:rFonts w:ascii="Arial" w:eastAsia="Times New Roman" w:hAnsi="Arial" w:cs="Arial"/>
          <w:b/>
          <w:bCs/>
          <w:sz w:val="32"/>
          <w:szCs w:val="32"/>
          <w:lang w:eastAsia="ru-RU"/>
        </w:rPr>
        <w:lastRenderedPageBreak/>
        <w:t>Становлянского муниципального округа Липецкой области Российской Федерации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 В муниципальных учреждениях культуры Становлянского муниципального округа Липецкой области Российской Федерации устанавливаются следующие выплаты компенсационного характера: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 выплаты за работу с вредными и (или) опасными условиями труда;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2) выплаты за работу в условиях, отклоняющихся от нормальных:</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а) при работе с гражданами, являющимися инвалидами по зрению;</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б)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в) при сверхурочной работе;</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г) при работе в ночное время;</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д) при работе в выходные и нерабочие праздничные дни.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2. Выплаты за работу с вредными и (или) опасными условиями труда по результатам проведения исследований (испытаний) и измерений вредных и (или) опасных производственных факторов (по результатам специальной оценки условий труда) производятся в следующих размерах:</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 при подклассе условий труда 3.1 - 8 % должностного оклада (тарифной ставки);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2) при подклассе условий труда 3.2 - 10 % должностного оклада (тарифной ставки).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3. Выплата при работе с гражданами, являющимися инвалидами по зрению, устанавливается в размере 20 % должностного оклада (тарифной ставки).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4.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конкретный размер выплаты устанавливается по соглашению сторон трудового договора с учетом содержания и (или) объема дополнительной работы.</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5. При сверхурочной работе, а также за работу в выходные и нерабочие праздничные дни оплата производится в размерах не менее чем установлены трудовым законодательством. Конкретные размеры устанавливаются трудовым договором в соответствии с локальным правовым актом учреждения.</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6. Выплата за работу в ночное время (с 22 часов до 6 часов) производится работникам учреждений в размере 35 % часовой тарифной ставки (должностного оклада, рассчитанного за час работы) с учетом повышения за работу с вредными и (или) опасными условиями труда за каждый час работы в ночное время.</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Приложение 2 к постановлению администрации Становлянского муниципального округа Липецкой области Российской Федерации от 17.06.2025 № 307</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jc w:val="center"/>
        <w:textAlignment w:val="top"/>
        <w:outlineLvl w:val="1"/>
        <w:rPr>
          <w:rFonts w:ascii="Arial" w:eastAsia="Times New Roman" w:hAnsi="Arial" w:cs="Arial"/>
          <w:b/>
          <w:bCs/>
          <w:sz w:val="32"/>
          <w:szCs w:val="32"/>
          <w:lang w:eastAsia="ru-RU"/>
        </w:rPr>
      </w:pPr>
      <w:r w:rsidRPr="0051658C">
        <w:rPr>
          <w:rFonts w:ascii="Arial" w:eastAsia="Times New Roman" w:hAnsi="Arial" w:cs="Arial"/>
          <w:b/>
          <w:bCs/>
          <w:sz w:val="32"/>
          <w:szCs w:val="32"/>
          <w:lang w:eastAsia="ru-RU"/>
        </w:rPr>
        <w:t>Перечень выплат стимулирующего характера работникам муниципальных учреждений культуры Становлянского муниципального округа Липецкой области Российской Федерации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 В муниципальных учреждениях культуры Становлянского муниципального округа Липецкой области Российской Федерации устанавливаются следующие выплаты стимулирующего характера: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1.1. Выплата за интенсивность, высокие результаты работы.</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lastRenderedPageBreak/>
        <w:t>1.2. Выплата за выслугу лет.</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1.3. Выплата за наличие государственной награды - почетного звания "Заслуженный" или "Народный", ученой степени кандидата наук.</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1.4. Выплата водителям за классность.</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1.5. Выплата водителям за безаварийную работу.</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1.6. Премии по итогам работы.</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Приложение 3 к постановлению администрации Становлянского муниципального округа Липецкой области Российской Федерации от 17.06.2025 № 307</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jc w:val="center"/>
        <w:textAlignment w:val="top"/>
        <w:outlineLvl w:val="1"/>
        <w:rPr>
          <w:rFonts w:ascii="Arial" w:eastAsia="Times New Roman" w:hAnsi="Arial" w:cs="Arial"/>
          <w:b/>
          <w:bCs/>
          <w:sz w:val="32"/>
          <w:szCs w:val="32"/>
          <w:lang w:eastAsia="ru-RU"/>
        </w:rPr>
      </w:pPr>
      <w:r w:rsidRPr="0051658C">
        <w:rPr>
          <w:rFonts w:ascii="Arial" w:eastAsia="Times New Roman" w:hAnsi="Arial" w:cs="Arial"/>
          <w:b/>
          <w:bCs/>
          <w:sz w:val="32"/>
          <w:szCs w:val="32"/>
          <w:lang w:eastAsia="ru-RU"/>
        </w:rPr>
        <w:t>Условия и порядок установления выплат стимулирующего характера работникам муниципальных учреждений культуры Становлянского муниципального округа Липецкой области Российской Федерации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 Выплата за интенсивность, высокие результаты работы устанавливается:</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 руководителям (за исключением руководителя учреждения, его заместителей и главного бухгалтера учреждения) от 30 до 200 % должностного оклада;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2) специалистам и другим служащим от 10 до 200 % должностного оклада;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3) рабочим от 10 до 200 % тарифной ставки.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Конкретные размеры и условия осуществления выплаты за интенсивность, высокие результаты работы устанавливаются локальным нормативным актом учреждения на основе показателей и критериев эффективности работы, утвержденных учреждением.</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2. Выплата за выслугу лет устанавливается в процентах к должностному окладу (тарифной ставке):</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424"/>
        <w:gridCol w:w="203"/>
        <w:gridCol w:w="5823"/>
      </w:tblGrid>
      <w:tr w:rsidR="0051658C" w:rsidRPr="0051658C" w:rsidTr="0051658C">
        <w:tc>
          <w:tcPr>
            <w:tcW w:w="0" w:type="auto"/>
            <w:tcBorders>
              <w:top w:val="single" w:sz="6" w:space="0" w:color="000000"/>
              <w:left w:val="single" w:sz="6" w:space="0" w:color="000000"/>
              <w:bottom w:val="single" w:sz="6" w:space="0" w:color="000000"/>
              <w:right w:val="nil"/>
            </w:tcBorders>
            <w:tcMar>
              <w:top w:w="101" w:type="dxa"/>
              <w:left w:w="58" w:type="dxa"/>
              <w:bottom w:w="101" w:type="dxa"/>
              <w:right w:w="0"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При стаже работы</w:t>
            </w:r>
          </w:p>
        </w:tc>
        <w:tc>
          <w:tcPr>
            <w:tcW w:w="0" w:type="auto"/>
            <w:tcBorders>
              <w:top w:val="single" w:sz="6" w:space="0" w:color="000000"/>
              <w:left w:val="nil"/>
              <w:bottom w:val="single" w:sz="6" w:space="0" w:color="000000"/>
              <w:right w:val="single" w:sz="6" w:space="0" w:color="000000"/>
            </w:tcBorders>
            <w:tcMar>
              <w:top w:w="101" w:type="dxa"/>
              <w:left w:w="0"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Размер выплаты (в процентах)</w:t>
            </w:r>
          </w:p>
        </w:tc>
      </w:tr>
      <w:tr w:rsidR="0051658C" w:rsidRPr="0051658C" w:rsidTr="0051658C">
        <w:tc>
          <w:tcPr>
            <w:tcW w:w="0" w:type="auto"/>
            <w:tcBorders>
              <w:top w:val="single" w:sz="6" w:space="0" w:color="000000"/>
              <w:left w:val="single" w:sz="6" w:space="0" w:color="000000"/>
              <w:bottom w:val="single" w:sz="6" w:space="0" w:color="000000"/>
              <w:right w:val="nil"/>
            </w:tcBorders>
            <w:tcMar>
              <w:top w:w="101" w:type="dxa"/>
              <w:left w:w="58" w:type="dxa"/>
              <w:bottom w:w="101" w:type="dxa"/>
              <w:right w:w="0"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от 1 до 5 лет</w:t>
            </w:r>
          </w:p>
        </w:tc>
        <w:tc>
          <w:tcPr>
            <w:tcW w:w="0" w:type="auto"/>
            <w:tcBorders>
              <w:top w:val="single" w:sz="6" w:space="0" w:color="000000"/>
              <w:left w:val="nil"/>
              <w:bottom w:val="single" w:sz="6" w:space="0" w:color="000000"/>
              <w:right w:val="single" w:sz="6" w:space="0" w:color="000000"/>
            </w:tcBorders>
            <w:tcMar>
              <w:top w:w="101" w:type="dxa"/>
              <w:left w:w="0"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20</w:t>
            </w:r>
          </w:p>
        </w:tc>
      </w:tr>
      <w:tr w:rsidR="0051658C" w:rsidRPr="0051658C" w:rsidTr="0051658C">
        <w:tc>
          <w:tcPr>
            <w:tcW w:w="0" w:type="auto"/>
            <w:tcBorders>
              <w:top w:val="single" w:sz="6" w:space="0" w:color="000000"/>
              <w:left w:val="single" w:sz="6" w:space="0" w:color="000000"/>
              <w:bottom w:val="single" w:sz="6" w:space="0" w:color="000000"/>
              <w:right w:val="nil"/>
            </w:tcBorders>
            <w:tcMar>
              <w:top w:w="101" w:type="dxa"/>
              <w:left w:w="58" w:type="dxa"/>
              <w:bottom w:w="101" w:type="dxa"/>
              <w:right w:w="0"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от 5 до 10 лет</w:t>
            </w:r>
          </w:p>
        </w:tc>
        <w:tc>
          <w:tcPr>
            <w:tcW w:w="0" w:type="auto"/>
            <w:tcBorders>
              <w:top w:val="single" w:sz="6" w:space="0" w:color="000000"/>
              <w:left w:val="nil"/>
              <w:bottom w:val="single" w:sz="6" w:space="0" w:color="000000"/>
              <w:right w:val="single" w:sz="6" w:space="0" w:color="000000"/>
            </w:tcBorders>
            <w:tcMar>
              <w:top w:w="101" w:type="dxa"/>
              <w:left w:w="0"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25</w:t>
            </w:r>
          </w:p>
        </w:tc>
      </w:tr>
      <w:tr w:rsidR="0051658C" w:rsidRPr="0051658C" w:rsidTr="0051658C">
        <w:tc>
          <w:tcPr>
            <w:tcW w:w="0" w:type="auto"/>
            <w:tcBorders>
              <w:top w:val="single" w:sz="6" w:space="0" w:color="000000"/>
              <w:left w:val="single" w:sz="6" w:space="0" w:color="000000"/>
              <w:bottom w:val="single" w:sz="6" w:space="0" w:color="000000"/>
              <w:right w:val="nil"/>
            </w:tcBorders>
            <w:tcMar>
              <w:top w:w="101" w:type="dxa"/>
              <w:left w:w="58" w:type="dxa"/>
              <w:bottom w:w="101" w:type="dxa"/>
              <w:right w:w="0"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от 10 до 15 лет</w:t>
            </w:r>
          </w:p>
        </w:tc>
        <w:tc>
          <w:tcPr>
            <w:tcW w:w="0" w:type="auto"/>
            <w:tcBorders>
              <w:top w:val="single" w:sz="6" w:space="0" w:color="000000"/>
              <w:left w:val="nil"/>
              <w:bottom w:val="single" w:sz="6" w:space="0" w:color="000000"/>
              <w:right w:val="single" w:sz="6" w:space="0" w:color="000000"/>
            </w:tcBorders>
            <w:tcMar>
              <w:top w:w="101" w:type="dxa"/>
              <w:left w:w="0"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30</w:t>
            </w:r>
          </w:p>
        </w:tc>
      </w:tr>
      <w:tr w:rsidR="0051658C" w:rsidRPr="0051658C" w:rsidTr="0051658C">
        <w:tc>
          <w:tcPr>
            <w:tcW w:w="0" w:type="auto"/>
            <w:tcBorders>
              <w:top w:val="single" w:sz="6" w:space="0" w:color="000000"/>
              <w:left w:val="single" w:sz="6" w:space="0" w:color="000000"/>
              <w:bottom w:val="single" w:sz="6" w:space="0" w:color="000000"/>
              <w:right w:val="nil"/>
            </w:tcBorders>
            <w:tcMar>
              <w:top w:w="101" w:type="dxa"/>
              <w:left w:w="58" w:type="dxa"/>
              <w:bottom w:w="101" w:type="dxa"/>
              <w:right w:w="0"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от 15 до 20 лет</w:t>
            </w:r>
          </w:p>
        </w:tc>
        <w:tc>
          <w:tcPr>
            <w:tcW w:w="0" w:type="auto"/>
            <w:tcBorders>
              <w:top w:val="single" w:sz="6" w:space="0" w:color="000000"/>
              <w:left w:val="nil"/>
              <w:bottom w:val="single" w:sz="6" w:space="0" w:color="000000"/>
              <w:right w:val="single" w:sz="6" w:space="0" w:color="000000"/>
            </w:tcBorders>
            <w:tcMar>
              <w:top w:w="101" w:type="dxa"/>
              <w:left w:w="0"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35</w:t>
            </w:r>
          </w:p>
        </w:tc>
      </w:tr>
      <w:tr w:rsidR="0051658C" w:rsidRPr="0051658C" w:rsidTr="0051658C">
        <w:tc>
          <w:tcPr>
            <w:tcW w:w="0" w:type="auto"/>
            <w:tcBorders>
              <w:top w:val="single" w:sz="6" w:space="0" w:color="000000"/>
              <w:left w:val="single" w:sz="6" w:space="0" w:color="000000"/>
              <w:bottom w:val="single" w:sz="6" w:space="0" w:color="000000"/>
              <w:right w:val="nil"/>
            </w:tcBorders>
            <w:tcMar>
              <w:top w:w="101" w:type="dxa"/>
              <w:left w:w="58" w:type="dxa"/>
              <w:bottom w:w="101" w:type="dxa"/>
              <w:right w:w="0"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свыше 20 лет</w:t>
            </w:r>
          </w:p>
        </w:tc>
        <w:tc>
          <w:tcPr>
            <w:tcW w:w="0" w:type="auto"/>
            <w:tcBorders>
              <w:top w:val="single" w:sz="6" w:space="0" w:color="000000"/>
              <w:left w:val="nil"/>
              <w:bottom w:val="single" w:sz="6" w:space="0" w:color="000000"/>
              <w:right w:val="single" w:sz="6" w:space="0" w:color="000000"/>
            </w:tcBorders>
            <w:tcMar>
              <w:top w:w="101" w:type="dxa"/>
              <w:left w:w="0"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51658C" w:rsidRPr="0051658C" w:rsidRDefault="0051658C" w:rsidP="0051658C">
            <w:pPr>
              <w:spacing w:after="0" w:line="240" w:lineRule="auto"/>
              <w:rPr>
                <w:rFonts w:ascii="Arial" w:eastAsia="Times New Roman" w:hAnsi="Arial" w:cs="Arial"/>
                <w:sz w:val="24"/>
                <w:szCs w:val="24"/>
                <w:lang w:eastAsia="ru-RU"/>
              </w:rPr>
            </w:pPr>
            <w:r w:rsidRPr="0051658C">
              <w:rPr>
                <w:rFonts w:ascii="Arial" w:eastAsia="Times New Roman" w:hAnsi="Arial" w:cs="Arial"/>
                <w:sz w:val="24"/>
                <w:szCs w:val="24"/>
                <w:lang w:eastAsia="ru-RU"/>
              </w:rPr>
              <w:t>40</w:t>
            </w:r>
          </w:p>
        </w:tc>
      </w:tr>
    </w:tbl>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 </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При установлении выплаты за выслугу лет учитываются периоды:</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1) замещения государственных должностей и должностей государственной службы Российской Федерации;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2) замещения муниципальных должностей и должностей муниципальной службы Российской Федерации;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3) работы по специальности, направлению подготовки.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документа об образовании и (или) о квалификации по указанным специальности, направлению подготовки.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lastRenderedPageBreak/>
        <w:t>В стаж работы для установления выплаты за выслугу лет засчитываются периоды работы на иных должностях при условии, что полученные в указанные периоды опыт и знания необходимы для выполнения должностных обязанностей по замещаемой должности, на основании приказа руководителя учреждения.</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3. Выплата за наличие государственной награды - почетного звания "Заслуженный", ученой степени кандидата наук осуществляется при условии работы по соответствующему профилю и устанавливается в размере 25 % должностного оклада.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Выплата за наличие государственной награды - почетного звания "Народный" осуществляется при условии работы по соответствующему профилю и устанавливается в размере 40 % должностного оклада.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При наличии нескольких почетных званий и ученой степени выплата к должностному окладу устанавливается по одному из оснований.</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4. Выплата водителям за классность устанавливается в следующих размерах:</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I класс - 25 % тарифной ставки;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II класс - 10 % тарифной ставки.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5. Выплата водителям за безаварийную работу устанавливается в размере 25 % тарифной ставки.</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6. Премии по итогам работы выплачиваются за счет средств, предусмотренных на оплату труда планом финансово-хозяйственной деятельности, в размере не более 6 должностных окладов (тарифных ставок) в год с учетом выплат компенсационного и стимулирующего характера.</w:t>
      </w:r>
    </w:p>
    <w:p w:rsidR="0051658C" w:rsidRPr="0051658C" w:rsidRDefault="0051658C" w:rsidP="0051658C">
      <w:pPr>
        <w:shd w:val="clear" w:color="auto" w:fill="FFFFFF"/>
        <w:spacing w:after="0" w:line="240" w:lineRule="auto"/>
        <w:ind w:firstLine="567"/>
        <w:jc w:val="both"/>
        <w:textAlignment w:val="top"/>
        <w:rPr>
          <w:rFonts w:ascii="Arial" w:eastAsia="Times New Roman" w:hAnsi="Arial" w:cs="Arial"/>
          <w:sz w:val="24"/>
          <w:szCs w:val="24"/>
          <w:lang w:eastAsia="ru-RU"/>
        </w:rPr>
      </w:pPr>
      <w:r w:rsidRPr="0051658C">
        <w:rPr>
          <w:rFonts w:ascii="Arial" w:eastAsia="Times New Roman" w:hAnsi="Arial" w:cs="Arial"/>
          <w:sz w:val="24"/>
          <w:szCs w:val="24"/>
          <w:lang w:eastAsia="ru-RU"/>
        </w:rPr>
        <w:t>Порядок и условия выплаты премий по итогам работы определяются локальным нормативным актом учреждения.</w:t>
      </w:r>
    </w:p>
    <w:p w:rsidR="00725FEF" w:rsidRPr="0051658C" w:rsidRDefault="00725FEF"/>
    <w:sectPr w:rsidR="00725FEF" w:rsidRPr="0051658C" w:rsidSect="00EE2559">
      <w:type w:val="continuous"/>
      <w:pgSz w:w="11906" w:h="16838"/>
      <w:pgMar w:top="1134" w:right="567"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8C"/>
    <w:rsid w:val="0051658C"/>
    <w:rsid w:val="006A4883"/>
    <w:rsid w:val="006B2C9A"/>
    <w:rsid w:val="00725FEF"/>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6BD93C-C6D8-45C4-BCB0-B6758CA4E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3964">
      <w:bodyDiv w:val="1"/>
      <w:marLeft w:val="0"/>
      <w:marRight w:val="0"/>
      <w:marTop w:val="0"/>
      <w:marBottom w:val="0"/>
      <w:divBdr>
        <w:top w:val="none" w:sz="0" w:space="0" w:color="auto"/>
        <w:left w:val="none" w:sz="0" w:space="0" w:color="auto"/>
        <w:bottom w:val="none" w:sz="0" w:space="0" w:color="auto"/>
        <w:right w:val="none" w:sz="0" w:space="0" w:color="auto"/>
      </w:divBdr>
      <w:divsChild>
        <w:div w:id="1811438785">
          <w:marLeft w:val="0"/>
          <w:marRight w:val="0"/>
          <w:marTop w:val="0"/>
          <w:marBottom w:val="0"/>
          <w:divBdr>
            <w:top w:val="none" w:sz="0" w:space="0" w:color="157FCC"/>
            <w:left w:val="none" w:sz="0" w:space="0" w:color="157FCC"/>
            <w:bottom w:val="none" w:sz="0" w:space="0" w:color="157FCC"/>
            <w:right w:val="none" w:sz="0" w:space="0" w:color="157FCC"/>
          </w:divBdr>
          <w:divsChild>
            <w:div w:id="669870620">
              <w:marLeft w:val="0"/>
              <w:marRight w:val="0"/>
              <w:marTop w:val="0"/>
              <w:marBottom w:val="0"/>
              <w:divBdr>
                <w:top w:val="single" w:sz="6" w:space="0" w:color="157FCC"/>
                <w:left w:val="single" w:sz="6" w:space="0" w:color="157FCC"/>
                <w:bottom w:val="single" w:sz="6" w:space="0" w:color="157FCC"/>
                <w:right w:val="single" w:sz="6" w:space="0" w:color="157FCC"/>
              </w:divBdr>
              <w:divsChild>
                <w:div w:id="761608487">
                  <w:marLeft w:val="0"/>
                  <w:marRight w:val="0"/>
                  <w:marTop w:val="0"/>
                  <w:marBottom w:val="0"/>
                  <w:divBdr>
                    <w:top w:val="none" w:sz="0" w:space="0" w:color="157FCC"/>
                    <w:left w:val="none" w:sz="0" w:space="0" w:color="157FCC"/>
                    <w:bottom w:val="none" w:sz="0" w:space="0" w:color="157FCC"/>
                    <w:right w:val="none" w:sz="0" w:space="0" w:color="157FCC"/>
                  </w:divBdr>
                  <w:divsChild>
                    <w:div w:id="629361367">
                      <w:marLeft w:val="0"/>
                      <w:marRight w:val="0"/>
                      <w:marTop w:val="0"/>
                      <w:marBottom w:val="0"/>
                      <w:divBdr>
                        <w:top w:val="single" w:sz="6" w:space="0" w:color="157FCC"/>
                        <w:left w:val="single" w:sz="6" w:space="0" w:color="157FCC"/>
                        <w:bottom w:val="single" w:sz="6" w:space="0" w:color="157FCC"/>
                        <w:right w:val="single" w:sz="6" w:space="0" w:color="157FCC"/>
                      </w:divBdr>
                      <w:divsChild>
                        <w:div w:id="764692319">
                          <w:marLeft w:val="0"/>
                          <w:marRight w:val="0"/>
                          <w:marTop w:val="0"/>
                          <w:marBottom w:val="0"/>
                          <w:divBdr>
                            <w:top w:val="none" w:sz="0" w:space="0" w:color="157FCC"/>
                            <w:left w:val="none" w:sz="0" w:space="0" w:color="157FCC"/>
                            <w:bottom w:val="none" w:sz="0" w:space="0" w:color="157FCC"/>
                            <w:right w:val="none" w:sz="0" w:space="0" w:color="157FCC"/>
                          </w:divBdr>
                          <w:divsChild>
                            <w:div w:id="2037150242">
                              <w:marLeft w:val="0"/>
                              <w:marRight w:val="0"/>
                              <w:marTop w:val="0"/>
                              <w:marBottom w:val="0"/>
                              <w:divBdr>
                                <w:top w:val="single" w:sz="6" w:space="0" w:color="157FCC"/>
                                <w:left w:val="single" w:sz="6" w:space="0" w:color="157FCC"/>
                                <w:bottom w:val="single" w:sz="6" w:space="0" w:color="157FCC"/>
                                <w:right w:val="single" w:sz="6" w:space="0" w:color="157FCC"/>
                              </w:divBdr>
                              <w:divsChild>
                                <w:div w:id="420370962">
                                  <w:marLeft w:val="0"/>
                                  <w:marRight w:val="0"/>
                                  <w:marTop w:val="0"/>
                                  <w:marBottom w:val="0"/>
                                  <w:divBdr>
                                    <w:top w:val="none" w:sz="0" w:space="0" w:color="auto"/>
                                    <w:left w:val="none" w:sz="0" w:space="0" w:color="auto"/>
                                    <w:bottom w:val="none" w:sz="0" w:space="0" w:color="auto"/>
                                    <w:right w:val="none" w:sz="0" w:space="0" w:color="auto"/>
                                  </w:divBdr>
                                  <w:divsChild>
                                    <w:div w:id="693851139">
                                      <w:marLeft w:val="0"/>
                                      <w:marRight w:val="0"/>
                                      <w:marTop w:val="0"/>
                                      <w:marBottom w:val="0"/>
                                      <w:divBdr>
                                        <w:top w:val="none" w:sz="0" w:space="0" w:color="157FCC"/>
                                        <w:left w:val="none" w:sz="0" w:space="0" w:color="157FCC"/>
                                        <w:bottom w:val="none" w:sz="0" w:space="0" w:color="157FCC"/>
                                        <w:right w:val="none" w:sz="0" w:space="0" w:color="157FCC"/>
                                      </w:divBdr>
                                      <w:divsChild>
                                        <w:div w:id="1448306142">
                                          <w:marLeft w:val="0"/>
                                          <w:marRight w:val="0"/>
                                          <w:marTop w:val="0"/>
                                          <w:marBottom w:val="0"/>
                                          <w:divBdr>
                                            <w:top w:val="single" w:sz="6" w:space="0" w:color="157FCC"/>
                                            <w:left w:val="single" w:sz="6" w:space="0" w:color="157FCC"/>
                                            <w:bottom w:val="single" w:sz="6" w:space="0" w:color="157FCC"/>
                                            <w:right w:val="single" w:sz="6" w:space="0" w:color="157FCC"/>
                                          </w:divBdr>
                                          <w:divsChild>
                                            <w:div w:id="1880166563">
                                              <w:marLeft w:val="0"/>
                                              <w:marRight w:val="0"/>
                                              <w:marTop w:val="0"/>
                                              <w:marBottom w:val="0"/>
                                              <w:divBdr>
                                                <w:top w:val="none" w:sz="0" w:space="0" w:color="auto"/>
                                                <w:left w:val="none" w:sz="0" w:space="0" w:color="auto"/>
                                                <w:bottom w:val="none" w:sz="0" w:space="0" w:color="auto"/>
                                                <w:right w:val="none" w:sz="0" w:space="0" w:color="auto"/>
                                              </w:divBdr>
                                              <w:divsChild>
                                                <w:div w:id="13061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1268</Words>
  <Characters>7228</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2025-07-18T10:33:00Z</dcterms:created>
  <dcterms:modified xsi:type="dcterms:W3CDTF">2025-07-18T10:33:00Z</dcterms:modified>
</cp:coreProperties>
</file>