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A5E" w:rsidRPr="008C7515" w:rsidRDefault="00851A5E" w:rsidP="00851A5E">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8C7515">
        <w:rPr>
          <w:rFonts w:ascii="Arial" w:eastAsia="Times New Roman" w:hAnsi="Arial" w:cs="Arial"/>
          <w:noProof/>
          <w:color w:val="000000" w:themeColor="text1"/>
          <w:sz w:val="24"/>
          <w:szCs w:val="24"/>
          <w:lang w:eastAsia="ru-RU"/>
        </w:rPr>
        <w:drawing>
          <wp:inline distT="0" distB="0" distL="0" distR="0" wp14:anchorId="1CAC2688" wp14:editId="134F008F">
            <wp:extent cx="828675" cy="971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971550"/>
                    </a:xfrm>
                    <a:prstGeom prst="rect">
                      <a:avLst/>
                    </a:prstGeom>
                    <a:noFill/>
                    <a:ln>
                      <a:noFill/>
                    </a:ln>
                  </pic:spPr>
                </pic:pic>
              </a:graphicData>
            </a:graphic>
          </wp:inline>
        </w:drawing>
      </w:r>
    </w:p>
    <w:p w:rsidR="00851A5E" w:rsidRPr="008C7515" w:rsidRDefault="00851A5E" w:rsidP="00851A5E">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Российская Федерация</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Липецкая область</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Совет депутатов Становлянского муниципального округа</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Двадцать четвертая сессия первого созыва</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РЕШЕНИЕ</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26.05.2025                         с. Становое                                 № 335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0"/>
        <w:rPr>
          <w:rFonts w:ascii="Arial" w:eastAsia="Times New Roman" w:hAnsi="Arial" w:cs="Arial"/>
          <w:b/>
          <w:bCs/>
          <w:color w:val="000000" w:themeColor="text1"/>
          <w:kern w:val="36"/>
          <w:sz w:val="32"/>
          <w:szCs w:val="32"/>
          <w:lang w:eastAsia="ru-RU"/>
        </w:rPr>
      </w:pPr>
      <w:r w:rsidRPr="00CB09E9">
        <w:rPr>
          <w:rFonts w:ascii="Arial" w:eastAsia="Times New Roman" w:hAnsi="Arial" w:cs="Arial"/>
          <w:b/>
          <w:bCs/>
          <w:color w:val="000000" w:themeColor="text1"/>
          <w:kern w:val="36"/>
          <w:sz w:val="32"/>
          <w:szCs w:val="32"/>
          <w:lang w:eastAsia="ru-RU"/>
        </w:rPr>
        <w:t>Об утверждении Стратегии социально-экономического развития Становлянского муниципального округа Липецкой области Российской Федерации на период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Рассмотрев внесенный главой Становлянского округа проект Стратегии социально-экономического развития Становлянского муниципального округа Липецкой области Российской Федерации на период до 2030 года, руководствуясь Уставом Становлянского муниципального округа Липецкой области Российской Федерации, учитывая рекомендации публичных слушаний, решение постоянной комиссии по финансовым и экономическим вопросам, Совет депутатов Становлянского муниципального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РЕШИЛ:</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Утвердить Стратегию социально-экономического развития Становлянского муниципального округа Липецкой области Российской Федерации на период до 2030 года (прилагается).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Настоящее решение вступает в силу со дня его принятия.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306CF3"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Заместитель председателя</w:t>
      </w:r>
      <w:r w:rsidR="00CB09E9" w:rsidRPr="00CB09E9">
        <w:rPr>
          <w:rFonts w:ascii="Arial" w:eastAsia="Times New Roman" w:hAnsi="Arial" w:cs="Arial"/>
          <w:color w:val="000000" w:themeColor="text1"/>
          <w:sz w:val="24"/>
          <w:szCs w:val="24"/>
          <w:lang w:eastAsia="ru-RU"/>
        </w:rPr>
        <w:t xml:space="preserve"> Совета депутатов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Становлянского округа </w:t>
      </w:r>
      <w:r w:rsidR="00306CF3">
        <w:rPr>
          <w:rFonts w:ascii="Arial" w:eastAsia="Times New Roman" w:hAnsi="Arial" w:cs="Arial"/>
          <w:color w:val="000000" w:themeColor="text1"/>
          <w:sz w:val="24"/>
          <w:szCs w:val="24"/>
          <w:lang w:eastAsia="ru-RU"/>
        </w:rPr>
        <w:tab/>
      </w:r>
      <w:r w:rsidR="00306CF3">
        <w:rPr>
          <w:rFonts w:ascii="Arial" w:eastAsia="Times New Roman" w:hAnsi="Arial" w:cs="Arial"/>
          <w:color w:val="000000" w:themeColor="text1"/>
          <w:sz w:val="24"/>
          <w:szCs w:val="24"/>
          <w:lang w:eastAsia="ru-RU"/>
        </w:rPr>
        <w:tab/>
      </w:r>
      <w:r w:rsidR="00306CF3">
        <w:rPr>
          <w:rFonts w:ascii="Arial" w:eastAsia="Times New Roman" w:hAnsi="Arial" w:cs="Arial"/>
          <w:color w:val="000000" w:themeColor="text1"/>
          <w:sz w:val="24"/>
          <w:szCs w:val="24"/>
          <w:lang w:eastAsia="ru-RU"/>
        </w:rPr>
        <w:tab/>
      </w:r>
      <w:r w:rsidR="00306CF3">
        <w:rPr>
          <w:rFonts w:ascii="Arial" w:eastAsia="Times New Roman" w:hAnsi="Arial" w:cs="Arial"/>
          <w:color w:val="000000" w:themeColor="text1"/>
          <w:sz w:val="24"/>
          <w:szCs w:val="24"/>
          <w:lang w:eastAsia="ru-RU"/>
        </w:rPr>
        <w:tab/>
      </w:r>
      <w:r w:rsidR="00306CF3">
        <w:rPr>
          <w:rFonts w:ascii="Arial" w:eastAsia="Times New Roman" w:hAnsi="Arial" w:cs="Arial"/>
          <w:color w:val="000000" w:themeColor="text1"/>
          <w:sz w:val="24"/>
          <w:szCs w:val="24"/>
          <w:lang w:eastAsia="ru-RU"/>
        </w:rPr>
        <w:tab/>
      </w:r>
      <w:r w:rsidR="00306CF3">
        <w:rPr>
          <w:rFonts w:ascii="Arial" w:eastAsia="Times New Roman" w:hAnsi="Arial" w:cs="Arial"/>
          <w:color w:val="000000" w:themeColor="text1"/>
          <w:sz w:val="24"/>
          <w:szCs w:val="24"/>
          <w:lang w:eastAsia="ru-RU"/>
        </w:rPr>
        <w:tab/>
        <w:t xml:space="preserve">Ю.И. </w:t>
      </w:r>
      <w:proofErr w:type="spellStart"/>
      <w:r w:rsidR="00306CF3">
        <w:rPr>
          <w:rFonts w:ascii="Arial" w:eastAsia="Times New Roman" w:hAnsi="Arial" w:cs="Arial"/>
          <w:color w:val="000000" w:themeColor="text1"/>
          <w:sz w:val="24"/>
          <w:szCs w:val="24"/>
          <w:lang w:eastAsia="ru-RU"/>
        </w:rPr>
        <w:t>Почитаев</w:t>
      </w:r>
      <w:proofErr w:type="spellEnd"/>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Pr="00CB09E9"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Утверждена</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решением Совета депутатов</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Становлянского муниципального округа</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Липецкой области Российской Федерации</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от 26.05.2025 № 335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1"/>
        <w:rPr>
          <w:rFonts w:ascii="Arial" w:eastAsia="Times New Roman" w:hAnsi="Arial" w:cs="Arial"/>
          <w:b/>
          <w:bCs/>
          <w:color w:val="000000" w:themeColor="text1"/>
          <w:sz w:val="32"/>
          <w:szCs w:val="32"/>
          <w:lang w:eastAsia="ru-RU"/>
        </w:rPr>
      </w:pPr>
      <w:r w:rsidRPr="00CB09E9">
        <w:rPr>
          <w:rFonts w:ascii="Arial" w:eastAsia="Times New Roman" w:hAnsi="Arial" w:cs="Arial"/>
          <w:b/>
          <w:bCs/>
          <w:color w:val="000000" w:themeColor="text1"/>
          <w:sz w:val="32"/>
          <w:szCs w:val="32"/>
          <w:lang w:eastAsia="ru-RU"/>
        </w:rPr>
        <w:t>Стратегия социально-экономического развития Становлянского муниципального округа Липецкой области Российской Федерации на период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584"/>
        <w:gridCol w:w="7755"/>
      </w:tblGrid>
      <w:tr w:rsidR="008C7515" w:rsidRPr="008C7515" w:rsidTr="008C7515">
        <w:tc>
          <w:tcPr>
            <w:tcW w:w="5000" w:type="pct"/>
            <w:gridSpan w:val="2"/>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Содержание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Раздел</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Введение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Краткие сведения о Становлянском муниципальном округе Липецкой области Российской Федерации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Анализ текущей ситуации в Становлянском округе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Демографическая ситуация</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Сфера занятости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Здравоохранение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Образование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Культура и молодежная политика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Физическая культура и спорт</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Агропромышленный комплекс</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Экономическое развитие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Туризм</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1.10.</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Жилищно-коммунальное хозяйство</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Транспортная инфраструктура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Стартовые условия для разработки Стратегии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Анализ реализации ранее поставленных целей социально-экономического развития Становлянского округа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факторы, влияющие на экономический рост</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SWOT -анализ социально-экономического развития Становлянского округа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Стратегические направления развития Становлянского округа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Главная стратегическая цель. Стратегические цели и задачи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Пространственное развитие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lastRenderedPageBreak/>
              <w:t>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Реализация стратегических направлений развития территории Становлянского округа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Первое стратегическое направление: создание комфортных условий для жизни и развития населения</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Демографическое развитие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Сфера занятости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Здравоохранение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Образование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4.1.5.</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Культура и молодежная политика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4.1.6.</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физической культуры и спорта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Второе стратегическое направление: создание условий приоритетного развития динамичной экономики и успешного предпринимательства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Агропромышленный комплекс</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Экономическое развитие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Инвестиционное развитие</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Туризм</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Третье стратегическое направление: инфраструктура для жизни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Жилищно-коммунальное хозяйство</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Благоустройство территории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Транспортная инфраструктура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Жилищное строительство</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4.3.5.</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Состояние окружающей среды</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Четвертое стратегическое направление: организация муниципального управления</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местного сообщества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Информационное общество</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Бюджетная политика</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5.</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Флагманские проекты</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6.</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Сроки, этапы, сценарии и ожидаемые результаты реализации Стратегии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Сроки, этапы и сценарии реализации Стратегии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Целевые индикаторы реализации Стратегии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Оценка финансовых ресурсов, необходимых для реализации Стратегии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Приложение 1</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Перспективные инвестиционные проекты, направленные на реализацию Стратегии социально-экономического развития Становлянского муниципального округа Липецкой области Российской Федерации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Приложение 2</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Перечень муниципальных программ Становлянского муниципального округа Липецкой области Российской Федерации</w:t>
            </w:r>
          </w:p>
        </w:tc>
      </w:tr>
      <w:tr w:rsidR="008C7515" w:rsidRPr="008C7515" w:rsidTr="008C7515">
        <w:tc>
          <w:tcPr>
            <w:tcW w:w="84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Приложение 3</w:t>
            </w:r>
          </w:p>
        </w:tc>
        <w:tc>
          <w:tcPr>
            <w:tcW w:w="41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Прогноз ключевых индикаторов Стратегии социально-экономического развития Становлянского муниципального округа Липецкой области Российской Федерации</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Введение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современном этапе развития российского общества перед органами местного самоуправления стоят стратегические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оптимизировать муниципальную экономическую политику и адекватную ей финансовую инфраструктуру;</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сформировать необходимые условия для экономического саморазвития муниципальных образований;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создать благоприятный инвестиционный климат для активизации инвестиционной деятельности и др.</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Округу необходим базовый документ, который соответствует современным требованиям, является основой для текущего планирования, четко определяет реальные действия органов власти в соответствии с их финансовыми и управленческими возможностями. На необходимость разработки стратегического документа муниципального развития ориентирует и федеральное законодательство по местному самоуправлению (Федеральный закон </w:t>
      </w:r>
      <w:hyperlink r:id="rId5" w:history="1">
        <w:r w:rsidRPr="00CB09E9">
          <w:rPr>
            <w:rFonts w:ascii="Arial" w:eastAsia="Times New Roman" w:hAnsi="Arial" w:cs="Arial"/>
            <w:color w:val="000000" w:themeColor="text1"/>
            <w:sz w:val="24"/>
            <w:szCs w:val="24"/>
            <w:lang w:eastAsia="ru-RU"/>
          </w:rPr>
          <w:t>от 6 октября 2003 года № 131-ФЗ</w:t>
        </w:r>
      </w:hyperlink>
      <w:r w:rsidRPr="00CB09E9">
        <w:rPr>
          <w:rFonts w:ascii="Arial" w:eastAsia="Times New Roman" w:hAnsi="Arial" w:cs="Arial"/>
          <w:color w:val="000000" w:themeColor="text1"/>
          <w:sz w:val="24"/>
          <w:szCs w:val="24"/>
          <w:lang w:eastAsia="ru-RU"/>
        </w:rPr>
        <w:t> "Об общих принципах организации местного самоуправления в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Внедрение качественно новых механизмов управления развитием экономики муниципального образования будет способствовать повышению эффективности жизнеобеспечения населения. В связи с этим задача разработки концепции и реализации стратегии экономического развития муниципального образования, а также принципов и алгоритма её внедрения, приобретает особую важность и предопределяет актуальность темы, ее теоретическую и практическую значимость.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Стратегия социально-экономического развития Становлянского муниципального округа Липецкой области Российской Федерации (далее - Стратегия) позволит добиться устойчивого социально-экономического роста на основе комплексного использования экономических, социальных, культурных, территориальных и других ресурсов.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Стратегия разработана в соответствии с Федеральным законом </w:t>
      </w:r>
      <w:hyperlink r:id="rId6" w:history="1">
        <w:r w:rsidRPr="00CB09E9">
          <w:rPr>
            <w:rFonts w:ascii="Arial" w:eastAsia="Times New Roman" w:hAnsi="Arial" w:cs="Arial"/>
            <w:color w:val="000000" w:themeColor="text1"/>
            <w:sz w:val="24"/>
            <w:szCs w:val="24"/>
            <w:lang w:eastAsia="ru-RU"/>
          </w:rPr>
          <w:t>от 28 июня 2014 года № 172-ФЗ</w:t>
        </w:r>
      </w:hyperlink>
      <w:r w:rsidRPr="00CB09E9">
        <w:rPr>
          <w:rFonts w:ascii="Arial" w:eastAsia="Times New Roman" w:hAnsi="Arial" w:cs="Arial"/>
          <w:color w:val="000000" w:themeColor="text1"/>
          <w:sz w:val="24"/>
          <w:szCs w:val="24"/>
          <w:lang w:eastAsia="ru-RU"/>
        </w:rPr>
        <w:t> "О стратегическом планировании в Российской Федерации", Указом Президента Российской Федерации от 8 ноября 2021 года № 633 "Об утверждении Основ государственной политики в сфере стратегического планирования в Российской Федерации", Стратегии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года № 4146-р; Единого плана по достижению национальных целей развития до 2030 года и на перспективу до 2036 года, утвержденного резолюцией Правительства Российской Федерации от 30 декабря 2024 года № ММ-П13-47086, </w:t>
      </w:r>
      <w:hyperlink r:id="rId7" w:history="1">
        <w:r w:rsidRPr="00CB09E9">
          <w:rPr>
            <w:rFonts w:ascii="Arial" w:eastAsia="Times New Roman" w:hAnsi="Arial" w:cs="Arial"/>
            <w:color w:val="000000" w:themeColor="text1"/>
            <w:sz w:val="24"/>
            <w:szCs w:val="24"/>
            <w:lang w:eastAsia="ru-RU"/>
          </w:rPr>
          <w:t>Уставом Липецкой области</w:t>
        </w:r>
      </w:hyperlink>
      <w:r w:rsidRPr="00CB09E9">
        <w:rPr>
          <w:rFonts w:ascii="Arial" w:eastAsia="Times New Roman" w:hAnsi="Arial" w:cs="Arial"/>
          <w:color w:val="000000" w:themeColor="text1"/>
          <w:sz w:val="24"/>
          <w:szCs w:val="24"/>
          <w:lang w:eastAsia="ru-RU"/>
        </w:rPr>
        <w:t>, Законом Липецкой области </w:t>
      </w:r>
      <w:hyperlink r:id="rId8" w:history="1">
        <w:r w:rsidRPr="00CB09E9">
          <w:rPr>
            <w:rFonts w:ascii="Arial" w:eastAsia="Times New Roman" w:hAnsi="Arial" w:cs="Arial"/>
            <w:color w:val="000000" w:themeColor="text1"/>
            <w:sz w:val="24"/>
            <w:szCs w:val="24"/>
            <w:lang w:eastAsia="ru-RU"/>
          </w:rPr>
          <w:t>от 26 февраля 2016 года № 501-ОЗ</w:t>
        </w:r>
      </w:hyperlink>
      <w:r w:rsidRPr="00CB09E9">
        <w:rPr>
          <w:rFonts w:ascii="Arial" w:eastAsia="Times New Roman" w:hAnsi="Arial" w:cs="Arial"/>
          <w:color w:val="000000" w:themeColor="text1"/>
          <w:sz w:val="24"/>
          <w:szCs w:val="24"/>
          <w:lang w:eastAsia="ru-RU"/>
        </w:rPr>
        <w:t xml:space="preserve"> "О некоторых вопросах стратегического планирования, мониторинга </w:t>
      </w:r>
      <w:r w:rsidRPr="00CB09E9">
        <w:rPr>
          <w:rFonts w:ascii="Arial" w:eastAsia="Times New Roman" w:hAnsi="Arial" w:cs="Arial"/>
          <w:color w:val="000000" w:themeColor="text1"/>
          <w:sz w:val="24"/>
          <w:szCs w:val="24"/>
          <w:lang w:eastAsia="ru-RU"/>
        </w:rPr>
        <w:lastRenderedPageBreak/>
        <w:t>и контроля реализации документов стратегического планирования Липецкой области", а также постановлением администрации Становлянского округа </w:t>
      </w:r>
      <w:hyperlink r:id="rId9" w:history="1">
        <w:r w:rsidRPr="00CB09E9">
          <w:rPr>
            <w:rFonts w:ascii="Arial" w:eastAsia="Times New Roman" w:hAnsi="Arial" w:cs="Arial"/>
            <w:color w:val="000000" w:themeColor="text1"/>
            <w:sz w:val="24"/>
            <w:szCs w:val="24"/>
            <w:lang w:eastAsia="ru-RU"/>
          </w:rPr>
          <w:t>от 14 октября 2024 года № 606</w:t>
        </w:r>
      </w:hyperlink>
      <w:r w:rsidRPr="00CB09E9">
        <w:rPr>
          <w:rFonts w:ascii="Arial" w:eastAsia="Times New Roman" w:hAnsi="Arial" w:cs="Arial"/>
          <w:color w:val="000000" w:themeColor="text1"/>
          <w:sz w:val="24"/>
          <w:szCs w:val="24"/>
          <w:lang w:eastAsia="ru-RU"/>
        </w:rPr>
        <w:t> "Об утверждении Порядка разработки, корректировки, осуществления мониторинга и контроля реализации Стратегии социально-экономического развития Становлянского муниципального округа Липецкой области Российской Федерации и плана мероприятий по ее реализации".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целях обеспечения преемственности целей и задач социально- экономического развития федерального и муниципального уровней при разработке Стратегии учтены ключевые положения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Стратегия разработана на основе Методических рекомендаций по разработке стратегии социально-экономического развития субъекта Российской Федерации, плана мероприятий по ее реализации, утвержденных Приказом Министерства экономического развития Российской Федерации от 23 марта 2017 года № 132.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Стратегия является одним из документов единой системы стратегического планирования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Положения Стратегии, основанные на результатах прогнозирования, в дальнейшем конкретизируются в документах планирования и программирования: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планах мероприятий и муниципальных программах 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генеральном плане 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Краткие сведения о Становлянском муниципальном округе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История становления и развития Становлянского муниципального округа Липецкой области Российской Федерации (ранее - района) уходит своими корнями в далекое прошлое. Вместе с укреплением границ Московского государства в царствование Федора Ивановича (сына Ивана Грозного) стали идти под раздачу дикие поля, земли, опустошенные набегами татар (на территории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Территория района до революции 1905 года входила в состав Елецкого и </w:t>
      </w:r>
      <w:proofErr w:type="spellStart"/>
      <w:r w:rsidRPr="00CB09E9">
        <w:rPr>
          <w:rFonts w:ascii="Arial" w:eastAsia="Times New Roman" w:hAnsi="Arial" w:cs="Arial"/>
          <w:color w:val="000000" w:themeColor="text1"/>
          <w:spacing w:val="-2"/>
          <w:sz w:val="24"/>
          <w:szCs w:val="24"/>
          <w:lang w:eastAsia="ru-RU"/>
        </w:rPr>
        <w:t>Ефремовского</w:t>
      </w:r>
      <w:proofErr w:type="spellEnd"/>
      <w:r w:rsidRPr="00CB09E9">
        <w:rPr>
          <w:rFonts w:ascii="Arial" w:eastAsia="Times New Roman" w:hAnsi="Arial" w:cs="Arial"/>
          <w:color w:val="000000" w:themeColor="text1"/>
          <w:spacing w:val="-2"/>
          <w:sz w:val="24"/>
          <w:szCs w:val="24"/>
          <w:lang w:eastAsia="ru-RU"/>
        </w:rPr>
        <w:t xml:space="preserve"> уездов Орловской и Тульской губерний.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14 мая 1928 года Всесоюзный ЦИК и Совнарком РСФСР приняли постановление об образовании на территории бывших Воронежской, Курской, Тамбовской и Орловской губерний Центрально-Черноземной области с центром в городе Воронеже. 16 июля 1928 года был определен состав ЦЧО, а 30 июля - сеть районов.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Становлянский район вошел в состав Елецкого округа. При образовании </w:t>
      </w:r>
      <w:proofErr w:type="spellStart"/>
      <w:r w:rsidRPr="00CB09E9">
        <w:rPr>
          <w:rFonts w:ascii="Arial" w:eastAsia="Times New Roman" w:hAnsi="Arial" w:cs="Arial"/>
          <w:color w:val="000000" w:themeColor="text1"/>
          <w:spacing w:val="-2"/>
          <w:sz w:val="24"/>
          <w:szCs w:val="24"/>
          <w:lang w:eastAsia="ru-RU"/>
        </w:rPr>
        <w:t>Становлянской</w:t>
      </w:r>
      <w:proofErr w:type="spellEnd"/>
      <w:r w:rsidRPr="00CB09E9">
        <w:rPr>
          <w:rFonts w:ascii="Arial" w:eastAsia="Times New Roman" w:hAnsi="Arial" w:cs="Arial"/>
          <w:color w:val="000000" w:themeColor="text1"/>
          <w:spacing w:val="-2"/>
          <w:sz w:val="24"/>
          <w:szCs w:val="24"/>
          <w:lang w:eastAsia="ru-RU"/>
        </w:rPr>
        <w:t xml:space="preserve"> волости центр ее находился в деревне Становая. Отсюда и пошло название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7 июля 1928 года при станции Становой состоялся 1-й съезд Советов, на котором рассматривался вопрос о значении районирования и о создании ЦЧО, вызванный экономическими и другими условиями. Так образовался район.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После создания районной партийной организации создается широкая сеть школ, клубов, магазинов, медпунктов. В последствии телефонизируются сельские советы, вводится радиоузел, баня, МТС, 2 маслозавода, 2 спиртзавода, 3 электростанции.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Мирное строительство экономики было прервано нападением на нашу страну фашистской Германии. Оккупация района продолжалась недолго - с 23 ноября по 15 </w:t>
      </w:r>
      <w:r w:rsidRPr="00CB09E9">
        <w:rPr>
          <w:rFonts w:ascii="Arial" w:eastAsia="Times New Roman" w:hAnsi="Arial" w:cs="Arial"/>
          <w:color w:val="000000" w:themeColor="text1"/>
          <w:spacing w:val="-2"/>
          <w:sz w:val="24"/>
          <w:szCs w:val="24"/>
          <w:lang w:eastAsia="ru-RU"/>
        </w:rPr>
        <w:lastRenderedPageBreak/>
        <w:t>декабря 1941 года. Но и за это время немецко-фашистские захватчики нанесли громадные разрушения и произвели неслыханные зверства над мирным населением. Общий ущерб составил более 105 млн. рублей.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После освобождения района жители приложили все усилия, чтобы восстановить разрушенное хозяйство. По инициативе комсомола в райцентре начали действовать строительно-восстановительные отряды.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50-е годы довоенное строительство продолжилось.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6 января 1964 года согласно Указу Президиума ВС СССР образовалась Липецкая область.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1 февраля 1963 года был издан Указ Президиума ВС СССР "Об укреплении сельских районов и изменении подчиненности районов и городов области". Из 24 районов было создано 10. В район вошел Волынский район.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Подъем трудового соперничества в 80 - 90-е годы дал новых героев в сельском и промышленном производстве. Среди них 22 кавалера ордена Ленина, 70 кавалеров ордена Трудового Красного Знамени.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В 2022 году жители района через представительные органы местного самоуправления выразили свое согласие объединиться в округ. С 1 апреля 2023 года Становлянский муниципальный район </w:t>
      </w:r>
      <w:r w:rsidRPr="00CB09E9">
        <w:rPr>
          <w:rFonts w:ascii="Arial" w:eastAsia="Times New Roman" w:hAnsi="Arial" w:cs="Arial"/>
          <w:color w:val="000000" w:themeColor="text1"/>
          <w:sz w:val="24"/>
          <w:szCs w:val="24"/>
          <w:lang w:eastAsia="ru-RU"/>
        </w:rPr>
        <w:t>Липецкой области Российской Федерации</w:t>
      </w:r>
      <w:r w:rsidRPr="00CB09E9">
        <w:rPr>
          <w:rFonts w:ascii="Arial" w:eastAsia="Times New Roman" w:hAnsi="Arial" w:cs="Arial"/>
          <w:color w:val="000000" w:themeColor="text1"/>
          <w:spacing w:val="-2"/>
          <w:sz w:val="24"/>
          <w:szCs w:val="24"/>
          <w:lang w:eastAsia="ru-RU"/>
        </w:rPr>
        <w:t xml:space="preserve"> преобразован в Становлянский муниципальный округ Липецкой области Российской Федерации (далее - Становлянский округ).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Климат </w:t>
      </w:r>
      <w:r w:rsidRPr="00CB09E9">
        <w:rPr>
          <w:rFonts w:ascii="Arial" w:eastAsia="Times New Roman" w:hAnsi="Arial" w:cs="Arial"/>
          <w:color w:val="000000" w:themeColor="text1"/>
          <w:sz w:val="24"/>
          <w:szCs w:val="24"/>
          <w:lang w:eastAsia="ru-RU"/>
        </w:rPr>
        <w:t>Становлянского округа </w:t>
      </w:r>
      <w:r w:rsidRPr="00CB09E9">
        <w:rPr>
          <w:rFonts w:ascii="Arial" w:eastAsia="Times New Roman" w:hAnsi="Arial" w:cs="Arial"/>
          <w:color w:val="000000" w:themeColor="text1"/>
          <w:spacing w:val="-2"/>
          <w:sz w:val="24"/>
          <w:szCs w:val="24"/>
          <w:lang w:eastAsia="ru-RU"/>
        </w:rPr>
        <w:t>влажный континентальный с теплым летом и умеренно холодной зимой. Месяц, отмечающийся максимальным теплом - август, с типичной температурой 26.0 °C. Месяц с минимальными температурами - январь, его среднесуточная температура -7.2 °C. Годовая средняя температура в Становлянском округе, на основе наблюдений, оценивается 10.5°C. Вершина температурного диапазона, регистрируется в августе до 33.3°С, а низшая понижается до -26.4°C в январе. На протяжении года: дни ясной погоды - 76, дни снега - 62, дождливых дней - 133, облачных дней - 95.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Наибольшее количество осадков приходится на теплый период с апреля по октябрь, и значительно меньше выпадает осадков в холодный период. Ветры в округе не постоянны. Преобладающим ветром в году является северо-западный, вторым господствующим ветром можно считать юго-западный.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 геоботаническим условиям Становлянский округ расположен в лесостепной зоне. В настоящее время небольшие дубравы и остатки разнотравной степной растительности сохранились по склонам оврагов. Здесь встречаются полынь, тысячелистник, костер. В пониженных местах, по лощинам, по дну оврагов и балок произрастают метлик, тимофеевка, лютик, клевер и др. Рельеф представляет собой плато, изрезанное оврагами и балками. Овраги и балки имеют большей частью крупные задернованные склоны.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Основной тип почвы - выщелоченный чернозем. В Становлянском округе расположены два месторождения полезных ископаемых - песок строительный (</w:t>
      </w:r>
      <w:proofErr w:type="spellStart"/>
      <w:r w:rsidRPr="00CB09E9">
        <w:rPr>
          <w:rFonts w:ascii="Arial" w:eastAsia="Times New Roman" w:hAnsi="Arial" w:cs="Arial"/>
          <w:color w:val="000000" w:themeColor="text1"/>
          <w:spacing w:val="-2"/>
          <w:sz w:val="24"/>
          <w:szCs w:val="24"/>
          <w:lang w:eastAsia="ru-RU"/>
        </w:rPr>
        <w:t>Грунино-Воргольское</w:t>
      </w:r>
      <w:proofErr w:type="spellEnd"/>
      <w:r w:rsidRPr="00CB09E9">
        <w:rPr>
          <w:rFonts w:ascii="Arial" w:eastAsia="Times New Roman" w:hAnsi="Arial" w:cs="Arial"/>
          <w:color w:val="000000" w:themeColor="text1"/>
          <w:spacing w:val="-2"/>
          <w:sz w:val="24"/>
          <w:szCs w:val="24"/>
          <w:lang w:eastAsia="ru-RU"/>
        </w:rPr>
        <w:t xml:space="preserve"> месторождение), кирпично-черепичное сырье и песок строительный (</w:t>
      </w:r>
      <w:proofErr w:type="spellStart"/>
      <w:r w:rsidRPr="00CB09E9">
        <w:rPr>
          <w:rFonts w:ascii="Arial" w:eastAsia="Times New Roman" w:hAnsi="Arial" w:cs="Arial"/>
          <w:color w:val="000000" w:themeColor="text1"/>
          <w:spacing w:val="-2"/>
          <w:sz w:val="24"/>
          <w:szCs w:val="24"/>
          <w:lang w:eastAsia="ru-RU"/>
        </w:rPr>
        <w:t>Становлянское</w:t>
      </w:r>
      <w:proofErr w:type="spellEnd"/>
      <w:r w:rsidRPr="00CB09E9">
        <w:rPr>
          <w:rFonts w:ascii="Arial" w:eastAsia="Times New Roman" w:hAnsi="Arial" w:cs="Arial"/>
          <w:color w:val="000000" w:themeColor="text1"/>
          <w:spacing w:val="-2"/>
          <w:sz w:val="24"/>
          <w:szCs w:val="24"/>
          <w:lang w:eastAsia="ru-RU"/>
        </w:rPr>
        <w:t xml:space="preserve"> месторождение). </w:t>
      </w:r>
      <w:proofErr w:type="spellStart"/>
      <w:r w:rsidRPr="00CB09E9">
        <w:rPr>
          <w:rFonts w:ascii="Arial" w:eastAsia="Times New Roman" w:hAnsi="Arial" w:cs="Arial"/>
          <w:color w:val="000000" w:themeColor="text1"/>
          <w:spacing w:val="-2"/>
          <w:sz w:val="24"/>
          <w:szCs w:val="24"/>
          <w:lang w:eastAsia="ru-RU"/>
        </w:rPr>
        <w:t>Становлянское</w:t>
      </w:r>
      <w:proofErr w:type="spellEnd"/>
      <w:r w:rsidRPr="00CB09E9">
        <w:rPr>
          <w:rFonts w:ascii="Arial" w:eastAsia="Times New Roman" w:hAnsi="Arial" w:cs="Arial"/>
          <w:color w:val="000000" w:themeColor="text1"/>
          <w:spacing w:val="-2"/>
          <w:sz w:val="24"/>
          <w:szCs w:val="24"/>
          <w:lang w:eastAsia="ru-RU"/>
        </w:rPr>
        <w:t xml:space="preserve"> месторождение является </w:t>
      </w:r>
      <w:proofErr w:type="spellStart"/>
      <w:r w:rsidRPr="00CB09E9">
        <w:rPr>
          <w:rFonts w:ascii="Arial" w:eastAsia="Times New Roman" w:hAnsi="Arial" w:cs="Arial"/>
          <w:color w:val="000000" w:themeColor="text1"/>
          <w:spacing w:val="-2"/>
          <w:sz w:val="24"/>
          <w:szCs w:val="24"/>
          <w:lang w:eastAsia="ru-RU"/>
        </w:rPr>
        <w:t>госрезервом</w:t>
      </w:r>
      <w:proofErr w:type="spellEnd"/>
      <w:r w:rsidRPr="00CB09E9">
        <w:rPr>
          <w:rFonts w:ascii="Arial" w:eastAsia="Times New Roman" w:hAnsi="Arial" w:cs="Arial"/>
          <w:color w:val="000000" w:themeColor="text1"/>
          <w:spacing w:val="-2"/>
          <w:sz w:val="24"/>
          <w:szCs w:val="24"/>
          <w:lang w:eastAsia="ru-RU"/>
        </w:rPr>
        <w:t xml:space="preserve">, но при наличии потребителя может эксплуатироваться в соответствии с Законом Российской Федерации </w:t>
      </w:r>
      <w:hyperlink r:id="rId10" w:history="1">
        <w:r w:rsidRPr="00CB09E9">
          <w:rPr>
            <w:rFonts w:ascii="Arial" w:eastAsia="Times New Roman" w:hAnsi="Arial" w:cs="Arial"/>
            <w:color w:val="000000" w:themeColor="text1"/>
            <w:sz w:val="24"/>
            <w:szCs w:val="24"/>
            <w:lang w:eastAsia="ru-RU"/>
          </w:rPr>
          <w:t>от 21 февраля 1992 года № 2395-1</w:t>
        </w:r>
      </w:hyperlink>
      <w:r w:rsidRPr="00CB09E9">
        <w:rPr>
          <w:rFonts w:ascii="Arial" w:eastAsia="Times New Roman" w:hAnsi="Arial" w:cs="Arial"/>
          <w:color w:val="000000" w:themeColor="text1"/>
          <w:sz w:val="24"/>
          <w:szCs w:val="24"/>
          <w:lang w:eastAsia="ru-RU"/>
        </w:rPr>
        <w:t> </w:t>
      </w:r>
      <w:r w:rsidRPr="00CB09E9">
        <w:rPr>
          <w:rFonts w:ascii="Arial" w:eastAsia="Times New Roman" w:hAnsi="Arial" w:cs="Arial"/>
          <w:color w:val="000000" w:themeColor="text1"/>
          <w:spacing w:val="-2"/>
          <w:sz w:val="24"/>
          <w:szCs w:val="24"/>
          <w:lang w:eastAsia="ru-RU"/>
        </w:rPr>
        <w:t>"О недрах".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1. Анализ текущей ситуации в Становлянском округе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1.1. Демографическая ситуация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lastRenderedPageBreak/>
        <w:t>Численность населения Становлянского округа на 1 января 2024 года составила 16521 человек (в 2014 году - 18234 человека). За последнее десятилетие численность населения Становлянского округа уменьшилась на 10 %.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Одна из тенденций - это перспектива сокращения населения Становлянского округа в результате сохранения низкой рождаемости и постепенного старения населения. В соответствии с критериями оценки Всемирной организации здравоохранения рождаемость в Становлянском округе характеризуется как очень низкая (2023 год -5,9 рождений на 1000 человек населения), смертность (2023 год - 14,1 смертей на 1000 человек) - средняя.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2023 году процесс естественной убыли населения продолжился. За 2023 год родилось 97 детей, что на 1 ребёнка меньше, чем в 2022 году. Умерло 230 человек, или на 79 человек меньше аналогичного периода прошлого года. Количество умерших превышает количество родившихся в 3,2 раза.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Позитивным демографическим фактором 2023 года является снижение количества актов о смерти. Показатель 2023 года один из самых низких за последние 4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2023 году на территорию округа прибыло 699 человек, выбыло 475 человек, миграционный прирост составил 224 человек. Положительное сальдо миграционного прироста при этом фиксируется уже последние четыре года. При этом в 2023 году основной вклад в прирост численности населения Становлянского округа внес миграционный прирост.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Анализ текущей демографической ситуации на территории Становлянского округа отражен в таблице 1.1.1.</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1.1.1.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Показатели демографической ситуации</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230"/>
        <w:gridCol w:w="1021"/>
        <w:gridCol w:w="1022"/>
        <w:gridCol w:w="1022"/>
        <w:gridCol w:w="1022"/>
        <w:gridCol w:w="1022"/>
      </w:tblGrid>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Демографические показатели</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2019 год</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2020 год</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2021 год</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2022 год</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2023 год</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численность населения, человек</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16995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16824</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16675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16432</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Численность населения трудоспособного возраста, человек</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9159</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9011</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9184</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8990</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8704</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Естественный прирост/убыль</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-244</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-213</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-133</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родившихся, человек</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136</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124</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96</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97</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умерших, человек</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281</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319</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359</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309</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230</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Миграционный прирост/убыль населения, человек</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224</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прибывших</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805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720</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692</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628</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699</w:t>
            </w:r>
          </w:p>
        </w:tc>
      </w:tr>
      <w:tr w:rsidR="008C7515" w:rsidRPr="008C7515" w:rsidTr="008C7515">
        <w:tc>
          <w:tcPr>
            <w:tcW w:w="226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выбывших</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870</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695</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621</w:t>
            </w:r>
          </w:p>
        </w:tc>
        <w:tc>
          <w:tcPr>
            <w:tcW w:w="54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За период 2019 - 2023 годы регистрация браков увеличилась до 50. Количество разводов снизилось с 54 до 43.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1.2. Сфера занятости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возрастной структуре населения Становлянский округ по состоянию на 1 января 2023 года имеет следующий вид:</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1) граждан моложе трудоспособного возраста -2598 человек, или 15,8 % от общей численности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2) граждан трудоспособного возраста - 8990 человек, или 54,7 % от общей численности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lastRenderedPageBreak/>
        <w:t>3) граждан старше трудоспособного возраста - 4844 человек, или 29,5 % от общей численности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 итогам 2023 года численность безработных составила 41 человек. Уровень регистрируемой безработицы составил 0,47%.</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течение 2023 года за содействием в поиске подходящей работы в Становлянский отдел ОКУ "ЦЗН Липецкой области" обратился 391 человек, трудоустроен 321 человек из обратившихся.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1.3. Здравоохранение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Предоставление жителям Становлянского округа бесплатной медицинской помощи по программе государственных гарантий Липецкой области осуществляется структурными подразделениями государственного бюджетного учреждения здравоохранения Липецкой области "Становлянская районная больница" (далее - ГУЗ "Становлянская РБ"). В структуру ГУЗ "Становлянская РБ" входят: взрослая поликлиника в с. Становое, детское поликлиническое отделение в с. Становое, филиал поликлиники в с. Ламское, станция Скорой медицинской помощи в с. Становое, отделение общей врачебной практики в д. </w:t>
      </w:r>
      <w:proofErr w:type="spellStart"/>
      <w:r w:rsidRPr="00CB09E9">
        <w:rPr>
          <w:rFonts w:ascii="Arial" w:eastAsia="Times New Roman" w:hAnsi="Arial" w:cs="Arial"/>
          <w:color w:val="000000" w:themeColor="text1"/>
          <w:sz w:val="24"/>
          <w:szCs w:val="24"/>
          <w:lang w:eastAsia="ru-RU"/>
        </w:rPr>
        <w:t>Паленка</w:t>
      </w:r>
      <w:proofErr w:type="spellEnd"/>
      <w:r w:rsidRPr="00CB09E9">
        <w:rPr>
          <w:rFonts w:ascii="Arial" w:eastAsia="Times New Roman" w:hAnsi="Arial" w:cs="Arial"/>
          <w:color w:val="000000" w:themeColor="text1"/>
          <w:sz w:val="24"/>
          <w:szCs w:val="24"/>
          <w:lang w:eastAsia="ru-RU"/>
        </w:rPr>
        <w:t xml:space="preserve">, отделение общей врачебной практики в с. Толстая Дубрава, 20 фельдшерско-акушерских пунктов, расположенных в с. </w:t>
      </w:r>
      <w:proofErr w:type="spellStart"/>
      <w:r w:rsidRPr="00CB09E9">
        <w:rPr>
          <w:rFonts w:ascii="Arial" w:eastAsia="Times New Roman" w:hAnsi="Arial" w:cs="Arial"/>
          <w:color w:val="000000" w:themeColor="text1"/>
          <w:sz w:val="24"/>
          <w:szCs w:val="24"/>
          <w:lang w:eastAsia="ru-RU"/>
        </w:rPr>
        <w:t>Грунино-Воргол</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Кириллово</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 xml:space="preserve">, д. </w:t>
      </w:r>
      <w:proofErr w:type="spellStart"/>
      <w:r w:rsidRPr="00CB09E9">
        <w:rPr>
          <w:rFonts w:ascii="Arial" w:eastAsia="Times New Roman" w:hAnsi="Arial" w:cs="Arial"/>
          <w:color w:val="000000" w:themeColor="text1"/>
          <w:sz w:val="24"/>
          <w:szCs w:val="24"/>
          <w:lang w:eastAsia="ru-RU"/>
        </w:rPr>
        <w:t>Бродки</w:t>
      </w:r>
      <w:proofErr w:type="spellEnd"/>
      <w:r w:rsidRPr="00CB09E9">
        <w:rPr>
          <w:rFonts w:ascii="Arial" w:eastAsia="Times New Roman" w:hAnsi="Arial" w:cs="Arial"/>
          <w:color w:val="000000" w:themeColor="text1"/>
          <w:sz w:val="24"/>
          <w:szCs w:val="24"/>
          <w:lang w:eastAsia="ru-RU"/>
        </w:rPr>
        <w:t xml:space="preserve">, с. Красная-Пальна, д. </w:t>
      </w:r>
      <w:proofErr w:type="spellStart"/>
      <w:r w:rsidRPr="00CB09E9">
        <w:rPr>
          <w:rFonts w:ascii="Arial" w:eastAsia="Times New Roman" w:hAnsi="Arial" w:cs="Arial"/>
          <w:color w:val="000000" w:themeColor="text1"/>
          <w:sz w:val="24"/>
          <w:szCs w:val="24"/>
          <w:lang w:eastAsia="ru-RU"/>
        </w:rPr>
        <w:t>Барсуково</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Кличено</w:t>
      </w:r>
      <w:proofErr w:type="spellEnd"/>
      <w:r w:rsidRPr="00CB09E9">
        <w:rPr>
          <w:rFonts w:ascii="Arial" w:eastAsia="Times New Roman" w:hAnsi="Arial" w:cs="Arial"/>
          <w:color w:val="000000" w:themeColor="text1"/>
          <w:sz w:val="24"/>
          <w:szCs w:val="24"/>
          <w:lang w:eastAsia="ru-RU"/>
        </w:rPr>
        <w:t xml:space="preserve">, д. </w:t>
      </w:r>
      <w:proofErr w:type="spellStart"/>
      <w:r w:rsidRPr="00CB09E9">
        <w:rPr>
          <w:rFonts w:ascii="Arial" w:eastAsia="Times New Roman" w:hAnsi="Arial" w:cs="Arial"/>
          <w:color w:val="000000" w:themeColor="text1"/>
          <w:sz w:val="24"/>
          <w:szCs w:val="24"/>
          <w:lang w:eastAsia="ru-RU"/>
        </w:rPr>
        <w:t>Лукьяновка</w:t>
      </w:r>
      <w:proofErr w:type="spellEnd"/>
      <w:r w:rsidRPr="00CB09E9">
        <w:rPr>
          <w:rFonts w:ascii="Arial" w:eastAsia="Times New Roman" w:hAnsi="Arial" w:cs="Arial"/>
          <w:color w:val="000000" w:themeColor="text1"/>
          <w:sz w:val="24"/>
          <w:szCs w:val="24"/>
          <w:lang w:eastAsia="ru-RU"/>
        </w:rPr>
        <w:t xml:space="preserve">, с. Семенек, д. Плоты, с. Березовка, с. Пальна-Михайловка, с. Дмитриевка, д. Озерки, с. Соловьево,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с. Телегино, с. Успенское, д. </w:t>
      </w:r>
      <w:proofErr w:type="spellStart"/>
      <w:r w:rsidRPr="00CB09E9">
        <w:rPr>
          <w:rFonts w:ascii="Arial" w:eastAsia="Times New Roman" w:hAnsi="Arial" w:cs="Arial"/>
          <w:color w:val="000000" w:themeColor="text1"/>
          <w:sz w:val="24"/>
          <w:szCs w:val="24"/>
          <w:lang w:eastAsia="ru-RU"/>
        </w:rPr>
        <w:t>Чемоданово</w:t>
      </w:r>
      <w:proofErr w:type="spellEnd"/>
      <w:r w:rsidRPr="00CB09E9">
        <w:rPr>
          <w:rFonts w:ascii="Arial" w:eastAsia="Times New Roman" w:hAnsi="Arial" w:cs="Arial"/>
          <w:color w:val="000000" w:themeColor="text1"/>
          <w:sz w:val="24"/>
          <w:szCs w:val="24"/>
          <w:lang w:eastAsia="ru-RU"/>
        </w:rPr>
        <w:t xml:space="preserve">, д. </w:t>
      </w:r>
      <w:proofErr w:type="spellStart"/>
      <w:r w:rsidRPr="00CB09E9">
        <w:rPr>
          <w:rFonts w:ascii="Arial" w:eastAsia="Times New Roman" w:hAnsi="Arial" w:cs="Arial"/>
          <w:color w:val="000000" w:themeColor="text1"/>
          <w:sz w:val="24"/>
          <w:szCs w:val="24"/>
          <w:lang w:eastAsia="ru-RU"/>
        </w:rPr>
        <w:t>Яркино</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Кроме оказания доврачебной медицинской помощи, согласно графику, работает передвижной мобильный комплекс с мобильной бригадой, на ООВП работает дневной стационар.</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Расположение всех ФАП соответствует требованиям Приказа Министерства здравоохранения и социального развития Российской Федерации от 15 мая 2012 года № 543н "Об утверждении Положения об организации оказания первичной медико-санитарной помощи взрослому населению". Средний радиус доступности ФАП для жителей из соответствующих зон обслуживания составляет 4 километра. Общая проектная мощность всех ФАП составляет 184 посещений в смену, 47736 посещений в год. Фактическая мощность всех ФАП в 2024 году составляла 146 посещений в смену, 39214 посещений в год. При этом плановое количество посещений всех ФАП в 2024 году, исходя из установленного в программе государственных гарантий Липецкой области оказания бесплатной медицинской помощи норматива количества доврачебных посещений на 1 человека, должно было составить 50388 посещений. Фактическое количество посещений всех ФАП в 2024 году составило 39214 посещений, или 78% от планового уровня, 82,1% от проектной мощности.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территории Становлянского округа функционируют 8 бригад скорой (экстренной) медицинской помощи, что соответствует установленному нормативу для определения необходимого количества бригад скорой (экстренной) медицинской помощи исходя из численности населения, проживающего в зоне обслуживания.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Кадровый состав ГУЗ "Становлянского ЦРБ":</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укомплектованность врачами составляет 80,4% в 2023 году, что на 27% выше 2022 года, количество врачей составляет 33 врача;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укомплектованность среднего медперсонала - 95,6 % в 2023 году, 132 медицинских работника.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В округе активно реализуются мероприятия по информированию населения о диспансеризации, профилактике, раннем выявлении заболеваний, формированию установок на здоровый образ жизни и безопасное поведение.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1.4. Образование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Качественное образование - одно из базовых условий прогрессивного развития 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Система образования Становлянского округа представляет собой 21 образовательные организации, осуществляющих свою деятельность как самостоятельные юридические лица, из них 14 дошкольных учреждений, 4 средних школы с 8 филиалами, 1 основная школа и 2 учреждения дополнительного образования. На базе двух школ: МБОУ "СШ с. Становое" и МБОУ "ОШ с. Грунин Воргол" функционируют 2 дошкольные группы.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Всего в образовательных организациях Становлянского округа на 01.09.2024 года обучается 1501 школьников, что на 24 ребенка меньше аналогичного периода прошлого года и 439 детей дошкольного возраста, что на 52 ребенка меньше аналогичного периода прошлого года и составляет 67 % охвата от общего количества детского населения дошкольного возраста, проживающего на территории Становлянского округа. Нормативная наполняемость дошкольных учреждений - 658 мест. В электронной очереди сегодня на учете актуального возраста детей нет. Вакантные места в дошкольных образовательных организациях имеются, поэтому дошкольное образование доступно для всех детей округа. В системе Барс "Электронный детский сад" зарегистрировано 37 детей дошкольного возраста для определения в ДОУ в последующие годы.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системе образования Становлянского округа на 1 сентября 2024 года трудятся 537 человек. В школах 307 сотрудников, из них 177 учителя. В дошкольных образовательных организациях -140, из них 49 педагогов. В учреждениях дополнительного образования - 41 сотрудников. Количество педагогических работников за три года уменьшилось в связи с закрытием и реорганизацией образовательных организаций.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Одна из главных задач сегодняшнего дня - обеспечение достойного уровня заработной платы педагогическим работникам, сопоставимого со средней заработной платой в экономике региона, а также создание привлекательных рабочих мест, как для опытных педагогов, так и для молодых специалистов. В 2024 году приняты меры для 100%-</w:t>
      </w:r>
      <w:proofErr w:type="spellStart"/>
      <w:r w:rsidRPr="00CB09E9">
        <w:rPr>
          <w:rFonts w:ascii="Arial" w:eastAsia="Times New Roman" w:hAnsi="Arial" w:cs="Arial"/>
          <w:color w:val="000000" w:themeColor="text1"/>
          <w:sz w:val="24"/>
          <w:szCs w:val="24"/>
          <w:lang w:eastAsia="ru-RU"/>
        </w:rPr>
        <w:t>го</w:t>
      </w:r>
      <w:proofErr w:type="spellEnd"/>
      <w:r w:rsidRPr="00CB09E9">
        <w:rPr>
          <w:rFonts w:ascii="Arial" w:eastAsia="Times New Roman" w:hAnsi="Arial" w:cs="Arial"/>
          <w:color w:val="000000" w:themeColor="text1"/>
          <w:sz w:val="24"/>
          <w:szCs w:val="24"/>
          <w:lang w:eastAsia="ru-RU"/>
        </w:rPr>
        <w:t xml:space="preserve"> выполнения майских Указов Президента Российской Федерации в части доведения средней заработной платы отдельных категорий работников по уровням образования до установленных целевых показателей таблица 1.4.1.</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1.4.1.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Уровень средней заработной платы педагогических работников образовательных учреждений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руб.</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085"/>
        <w:gridCol w:w="1043"/>
        <w:gridCol w:w="1043"/>
        <w:gridCol w:w="1042"/>
        <w:gridCol w:w="1042"/>
        <w:gridCol w:w="1042"/>
        <w:gridCol w:w="1042"/>
      </w:tblGrid>
      <w:tr w:rsidR="008C7515" w:rsidRPr="008C7515" w:rsidTr="008C7515">
        <w:tc>
          <w:tcPr>
            <w:tcW w:w="16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Сфера образования</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2019 год</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2020 год</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2021 год</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2022 год</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2023 год</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2024 год</w:t>
            </w:r>
          </w:p>
        </w:tc>
      </w:tr>
      <w:tr w:rsidR="008C7515" w:rsidRPr="008C7515" w:rsidTr="008C7515">
        <w:tc>
          <w:tcPr>
            <w:tcW w:w="16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Общее образование</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26155</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27836</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30348</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33827</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39275</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53613</w:t>
            </w:r>
          </w:p>
        </w:tc>
      </w:tr>
      <w:tr w:rsidR="008C7515" w:rsidRPr="008C7515" w:rsidTr="008C7515">
        <w:tc>
          <w:tcPr>
            <w:tcW w:w="16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Дошкольное образование</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19455</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20318</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21841</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24418</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28381</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46547</w:t>
            </w:r>
          </w:p>
        </w:tc>
      </w:tr>
      <w:tr w:rsidR="008C7515" w:rsidRPr="008C7515" w:rsidTr="008C7515">
        <w:tc>
          <w:tcPr>
            <w:tcW w:w="165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Дополнительное образование</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30404</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32167</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36599</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37029</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41474</w:t>
            </w:r>
          </w:p>
        </w:tc>
        <w:tc>
          <w:tcPr>
            <w:tcW w:w="5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49555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каждом образовательном учреждении действуют объединения патриотической направленности, ежегодно увеличивается количество мероприятий гражданско-патриотического воспитания.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округе за последние три года созданы и успешно функционируют 5 центров естественно-научной и технологической направленностей "Точка роста" на базе МБОУ "СШ с. Становое", МБОУ "СШ с. Ламское", МБОУ "СШ с. Толстая Дубрава", МБОУ "СШ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МБОУ "ОШ с. Грунин Воргол".</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рамках федерального и регионального проектов "Цифровая образовательная среда" национального проекта "Образование" оснащено 4 общеобразовательных учреждений (МБОУ "СШ с. Становое", МБОУ "СШ с. Ламское", МБОУ "СШ с. Толстая Дубрава", МБОУ "СШ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комплектом оборудования для обновления информационно-коммуникационной инфраструктуры и внедрения современных цифровых технологий в образовательный процесс, во всех общеобразовательных организациях округа введена и реализуется Единая модель </w:t>
      </w:r>
      <w:proofErr w:type="spellStart"/>
      <w:r w:rsidRPr="00CB09E9">
        <w:rPr>
          <w:rFonts w:ascii="Arial" w:eastAsia="Times New Roman" w:hAnsi="Arial" w:cs="Arial"/>
          <w:color w:val="000000" w:themeColor="text1"/>
          <w:sz w:val="24"/>
          <w:szCs w:val="24"/>
          <w:lang w:eastAsia="ru-RU"/>
        </w:rPr>
        <w:t>профориентационной</w:t>
      </w:r>
      <w:proofErr w:type="spellEnd"/>
      <w:r w:rsidRPr="00CB09E9">
        <w:rPr>
          <w:rFonts w:ascii="Arial" w:eastAsia="Times New Roman" w:hAnsi="Arial" w:cs="Arial"/>
          <w:color w:val="000000" w:themeColor="text1"/>
          <w:sz w:val="24"/>
          <w:szCs w:val="24"/>
          <w:lang w:eastAsia="ru-RU"/>
        </w:rPr>
        <w:t xml:space="preserve"> работы (</w:t>
      </w:r>
      <w:proofErr w:type="spellStart"/>
      <w:r w:rsidRPr="00CB09E9">
        <w:rPr>
          <w:rFonts w:ascii="Arial" w:eastAsia="Times New Roman" w:hAnsi="Arial" w:cs="Arial"/>
          <w:color w:val="000000" w:themeColor="text1"/>
          <w:sz w:val="24"/>
          <w:szCs w:val="24"/>
          <w:lang w:eastAsia="ru-RU"/>
        </w:rPr>
        <w:t>профминимум</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создания условий по обеспечению безопасности для жизни и здоровья учащихся общеобразовательных учреждений в Становлянском округе осуществляется ежедневный подвоз учащихся до образовательных учреждений. Задействовано 11 единиц транспорта, на каждодневной основе около 493 школьников нуждаются в данной услуге.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рамках государственной программы "Развитие образования Липецкой области" в 2021 году выполнен капитальный ремонт в МБОУ "СШ д. </w:t>
      </w:r>
      <w:proofErr w:type="spellStart"/>
      <w:r w:rsidRPr="00CB09E9">
        <w:rPr>
          <w:rFonts w:ascii="Arial" w:eastAsia="Times New Roman" w:hAnsi="Arial" w:cs="Arial"/>
          <w:color w:val="000000" w:themeColor="text1"/>
          <w:sz w:val="24"/>
          <w:szCs w:val="24"/>
          <w:lang w:eastAsia="ru-RU"/>
        </w:rPr>
        <w:t>Палёнка</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2022 году осуществлён капитальный ремонт МБОУ "СШ с. Становое" и благоустройство прилегающей территории. Освоено 244 миллиона рублей на условиях софинансирования с областным и федеральным бюджетами. Помимо современного капитального ремонта, полностью обновлено оборудование и мебель. В каждой классной комнате - высокоскоростной интернет, ноутбук, многофункциональное устройство. Отремонтирован пищеблок, установлено новое оборудование. В цокольном этаже здания расположились тренажёрный зал, лыжная база, тир. Полностью обновлён спортинвентарь, а в библиотечный фонд школы поступили необходимые учебники. Для кабинетов музыки и ИЗО приобретены музыкальные инструменты, мольберты. Открыта цифровая площадка "</w:t>
      </w:r>
      <w:proofErr w:type="spellStart"/>
      <w:r w:rsidRPr="00CB09E9">
        <w:rPr>
          <w:rFonts w:ascii="Arial" w:eastAsia="Times New Roman" w:hAnsi="Arial" w:cs="Arial"/>
          <w:color w:val="000000" w:themeColor="text1"/>
          <w:sz w:val="24"/>
          <w:szCs w:val="24"/>
          <w:lang w:eastAsia="ru-RU"/>
        </w:rPr>
        <w:t>It-bit</w:t>
      </w:r>
      <w:proofErr w:type="spellEnd"/>
      <w:r w:rsidRPr="00CB09E9">
        <w:rPr>
          <w:rFonts w:ascii="Arial" w:eastAsia="Times New Roman" w:hAnsi="Arial" w:cs="Arial"/>
          <w:color w:val="000000" w:themeColor="text1"/>
          <w:sz w:val="24"/>
          <w:szCs w:val="24"/>
          <w:lang w:eastAsia="ru-RU"/>
        </w:rPr>
        <w:t>", которая даёт возможность обучающимся заниматься программированием и робототехникой.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Дополнительное образование детей является важнейшей составляющей образовательного пространства. На территории Становлянского округа функционируют две организации дополнительного образования детей: МБОУ ДО ЦДОД и МБОУ ДЮСШ "Дельфин". Контингент учащихся составил 250 человек (11,7%). В центре ДОД эффективно работает детский технопарк "</w:t>
      </w:r>
      <w:proofErr w:type="spellStart"/>
      <w:r w:rsidRPr="00CB09E9">
        <w:rPr>
          <w:rFonts w:ascii="Arial" w:eastAsia="Times New Roman" w:hAnsi="Arial" w:cs="Arial"/>
          <w:color w:val="000000" w:themeColor="text1"/>
          <w:sz w:val="24"/>
          <w:szCs w:val="24"/>
          <w:lang w:eastAsia="ru-RU"/>
        </w:rPr>
        <w:t>Кванториум</w:t>
      </w:r>
      <w:proofErr w:type="spellEnd"/>
      <w:r w:rsidRPr="00CB09E9">
        <w:rPr>
          <w:rFonts w:ascii="Arial" w:eastAsia="Times New Roman" w:hAnsi="Arial" w:cs="Arial"/>
          <w:color w:val="000000" w:themeColor="text1"/>
          <w:sz w:val="24"/>
          <w:szCs w:val="24"/>
          <w:lang w:eastAsia="ru-RU"/>
        </w:rPr>
        <w:t>". Доступность дополнительного образования повышается через систему персонифицированного финансирования дополнительного образования. В рамках системы на обучение выдаются сертификаты дополнительного образования. Всего в учреждениях дополнительного образования функционируют 65 детских объединений. Занятия объединений осуществляются как на базе учреждений дополнительного образования, так и на базе общеобразовательных учреждений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Всё это способствовало к увеличению доли детей в возрасте от 5 до 18 лет, охваченных дополнительным образованием. Так в 2023 году показатель увеличился по сравнению с 2022 годом на 6% и составил 85 %. (рисунок 1.4.1).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01AAD908" wp14:editId="15FC872F">
            <wp:extent cx="4219575" cy="4206917"/>
            <wp:effectExtent l="0" t="0" r="0" b="3175"/>
            <wp:docPr id="9" name="Рисунок 9" descr="http://ru48.registrnpa.ru/upload_images/291419/1_html_4a6c408113cdca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48.registrnpa.ru/upload_images/291419/1_html_4a6c408113cdca9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3333" cy="4230603"/>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1.4.1. Доля детей в возрасте от 5 до 18 лет, получивших услуги по дополнительному образованию в 2023 году,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1.5. Культура и молодежная политика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Сфера культуры Становлянского округа представлена следующими учреждениями: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МБУК "Координационно-методический центр культуры и досуга Становлянского округа с филиалами на селе" (далее КМЦКД</w:t>
      </w:r>
      <w:proofErr w:type="gramStart"/>
      <w:r w:rsidRPr="00CB09E9">
        <w:rPr>
          <w:rFonts w:ascii="Arial" w:eastAsia="Times New Roman" w:hAnsi="Arial" w:cs="Arial"/>
          <w:color w:val="000000" w:themeColor="text1"/>
          <w:sz w:val="24"/>
          <w:szCs w:val="24"/>
          <w:lang w:eastAsia="ru-RU"/>
        </w:rPr>
        <w:t>) ;</w:t>
      </w:r>
      <w:proofErr w:type="gramEnd"/>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2) МБУК "Становлянская </w:t>
      </w:r>
      <w:proofErr w:type="spellStart"/>
      <w:r w:rsidRPr="00CB09E9">
        <w:rPr>
          <w:rFonts w:ascii="Arial" w:eastAsia="Times New Roman" w:hAnsi="Arial" w:cs="Arial"/>
          <w:color w:val="000000" w:themeColor="text1"/>
          <w:sz w:val="24"/>
          <w:szCs w:val="24"/>
          <w:lang w:eastAsia="ru-RU"/>
        </w:rPr>
        <w:t>межпоселенческая</w:t>
      </w:r>
      <w:proofErr w:type="spellEnd"/>
      <w:r w:rsidRPr="00CB09E9">
        <w:rPr>
          <w:rFonts w:ascii="Arial" w:eastAsia="Times New Roman" w:hAnsi="Arial" w:cs="Arial"/>
          <w:color w:val="000000" w:themeColor="text1"/>
          <w:sz w:val="24"/>
          <w:szCs w:val="24"/>
          <w:lang w:eastAsia="ru-RU"/>
        </w:rPr>
        <w:t xml:space="preserve"> центральная библиотека с филиалами на селе";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МБУ ДО "Детская школа искусств" с. Становое (далее - ДШИ);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Центр хозяйственного обеспечения муниципальных учреждений культуры Становлянского муниципального округа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 КМЦКД работают отдел краеведения, туристско- информационный центр, детская площадка "Островок детства", кинотеатр "Мир".</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учреждениях культуры округа функционирует 256 формирований, в которых занято более трёх тысяч участников, из них для детей работает 114 формирований, в которых занимаются более тысячи человек. Доля детей, привлекаемых к участию в творческих мероприятиях от общего числа детей, составляет 50 %.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округе действует 7 творческих коллективов, имеющих звание "Народный коллектив". Народный хор "</w:t>
      </w:r>
      <w:proofErr w:type="spellStart"/>
      <w:r w:rsidRPr="00CB09E9">
        <w:rPr>
          <w:rFonts w:ascii="Arial" w:eastAsia="Times New Roman" w:hAnsi="Arial" w:cs="Arial"/>
          <w:color w:val="000000" w:themeColor="text1"/>
          <w:sz w:val="24"/>
          <w:szCs w:val="24"/>
          <w:lang w:eastAsia="ru-RU"/>
        </w:rPr>
        <w:t>Становлянское</w:t>
      </w:r>
      <w:proofErr w:type="spellEnd"/>
      <w:r w:rsidRPr="00CB09E9">
        <w:rPr>
          <w:rFonts w:ascii="Arial" w:eastAsia="Times New Roman" w:hAnsi="Arial" w:cs="Arial"/>
          <w:color w:val="000000" w:themeColor="text1"/>
          <w:sz w:val="24"/>
          <w:szCs w:val="24"/>
          <w:lang w:eastAsia="ru-RU"/>
        </w:rPr>
        <w:t xml:space="preserve"> раздолье" имеет звание "Заслуженный коллектив народного творчества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Эффективная работа учреждений культуры округа подтверждается большим числом посещений населением культурных, культурно-досуговых мероприятий, а также победами в конкурсах различного уровня.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По состоянию на 1 января 2024 года на территории Становлянского округа по Государственной программе Липецкой области "Обеспечение населения Липецкой области качественным жильём социальной инфраструктурой и услугами ЖКХ" был осуществлен капитальный ремонт в 7 зданиях ДК (с. Ламское, с. Соловьёво, с. Толстая Дубрава, д. Плоты,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д. Берёзовка, д. </w:t>
      </w:r>
      <w:proofErr w:type="spellStart"/>
      <w:r w:rsidRPr="00CB09E9">
        <w:rPr>
          <w:rFonts w:ascii="Arial" w:eastAsia="Times New Roman" w:hAnsi="Arial" w:cs="Arial"/>
          <w:color w:val="000000" w:themeColor="text1"/>
          <w:sz w:val="24"/>
          <w:szCs w:val="24"/>
          <w:lang w:eastAsia="ru-RU"/>
        </w:rPr>
        <w:t>Бродки</w:t>
      </w:r>
      <w:proofErr w:type="spellEnd"/>
      <w:r w:rsidRPr="00CB09E9">
        <w:rPr>
          <w:rFonts w:ascii="Arial" w:eastAsia="Times New Roman" w:hAnsi="Arial" w:cs="Arial"/>
          <w:color w:val="000000" w:themeColor="text1"/>
          <w:sz w:val="24"/>
          <w:szCs w:val="24"/>
          <w:lang w:eastAsia="ru-RU"/>
        </w:rPr>
        <w:t>). В результате капитального ремонта была произведена замена полов, потолков, замена крыши, ремонт фасада, порогов, установка автоматического пандуса, замена оконных блоков и дверей, замена и установка светового оборудования, ремонт котельной. В результате чего в 2023 году доля муниципальных учреждений культуры, требующих капитального ремонта или находящихся в аварийном состоянии составила 5,3 (рисунок 1.5.1).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1254CB32" wp14:editId="76501824">
            <wp:extent cx="4116982" cy="4036695"/>
            <wp:effectExtent l="0" t="0" r="0" b="1905"/>
            <wp:docPr id="2" name="Рисунок 2" descr="http://ru48.registrnpa.ru/upload_images/291419/1_html_b604813b77408f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u48.registrnpa.ru/upload_images/291419/1_html_b604813b77408f3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6301" cy="4055638"/>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1.5.1. Доля муниципальных учреждений культуры, здания которых находятся в аварийном состоянии или требуют капитального ремонта,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Согласно данным, на 1 января 2024 года численность молодежи в округе в возрасте от 14 до 35 лет составила 3509 человек. При этом наблюдается тенденция по сокращению численности и доли молодежи.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Основными причинами миграции среди молодежи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получение образования;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переезд в крупные города с более высоким уровнем оплаты труда и качества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округе активно проводятся мероприятия, направленные на духовно-нравственное и патриотическое воспитание, на развитие талантливой молодежи, интеллектуально-творческое развитие, вовлечение в добровольческую </w:t>
      </w:r>
      <w:r w:rsidRPr="00CB09E9">
        <w:rPr>
          <w:rFonts w:ascii="Arial" w:eastAsia="Times New Roman" w:hAnsi="Arial" w:cs="Arial"/>
          <w:color w:val="000000" w:themeColor="text1"/>
          <w:sz w:val="24"/>
          <w:szCs w:val="24"/>
          <w:lang w:eastAsia="ru-RU"/>
        </w:rPr>
        <w:lastRenderedPageBreak/>
        <w:t>деятельность и пропаганду здорового образа жизни. Растет доля молодых людей, принимающих участие в данных мероприятиях.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оперативного информирования молодежи о проводимых мероприятиях на территории округа, Липецкой области, а также федеральных инициатив создана группа в социальной сети "</w:t>
      </w:r>
      <w:proofErr w:type="spellStart"/>
      <w:r w:rsidRPr="00CB09E9">
        <w:rPr>
          <w:rFonts w:ascii="Arial" w:eastAsia="Times New Roman" w:hAnsi="Arial" w:cs="Arial"/>
          <w:color w:val="000000" w:themeColor="text1"/>
          <w:sz w:val="24"/>
          <w:szCs w:val="24"/>
          <w:lang w:eastAsia="ru-RU"/>
        </w:rPr>
        <w:t>ВКонтакте</w:t>
      </w:r>
      <w:proofErr w:type="spellEnd"/>
      <w:r w:rsidRPr="00CB09E9">
        <w:rPr>
          <w:rFonts w:ascii="Arial" w:eastAsia="Times New Roman" w:hAnsi="Arial" w:cs="Arial"/>
          <w:color w:val="000000" w:themeColor="text1"/>
          <w:sz w:val="24"/>
          <w:szCs w:val="24"/>
          <w:lang w:eastAsia="ru-RU"/>
        </w:rPr>
        <w:t>", "Молодёжная политика Становлянского округа", подписчиками которой является 1632 человек (9,9 % от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1.6. Физическая культура и спорт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Комфортные условия, созданные для занятий физической культурой и спортом, привлекают всё больше жителей округа к ведению активного образа жизни. С каждым годом растёт количество человек, принимающие участие в массовых спортивных мероприятиях: "Кросс Нации", "Лыжня России", День физкультурника, Спартакиада трудящихся. В 2022 году численность занимающихся физической культурой и спортом детей и взрослых - 7895 человек, что составляло 53,1%. В 2023 году произошло увеличение до 9197 человек, что составило 60,1%.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 состоянию на 1 января 2024 года на территории Становлянского округа функционируют 2 муниципальных бюджетных учреждений спорта и их обособленных структурных подразделений. Функционируют 35 спортивных секций и спортивных клубных формирований, в которых занималось 935 человек. Исходя из режима функционирования спортивных секций и спортивных клубных формирований, общее количество посещений за 2023 год составило 95776 посещений.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Становлянском округе в 2024 году насчитывалось 116 спортивных сооружений. Из них 1 стадион; 70 плоскостных спортивных сооружений; 15 спортивных залов; 1 плавательный бассейн. Ведется планомерная работа по обустройству спортивно - игровых площадок в населённых пунктах округа. Для оздоровления и развития детей закупается новое спортивно-игровое оборудование.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На территории Становлянского округа расположена лыжная база в с. </w:t>
      </w:r>
      <w:proofErr w:type="spellStart"/>
      <w:r w:rsidRPr="00CB09E9">
        <w:rPr>
          <w:rFonts w:ascii="Arial" w:eastAsia="Times New Roman" w:hAnsi="Arial" w:cs="Arial"/>
          <w:color w:val="000000" w:themeColor="text1"/>
          <w:sz w:val="24"/>
          <w:szCs w:val="24"/>
          <w:lang w:eastAsia="ru-RU"/>
        </w:rPr>
        <w:t>Чернолес</w:t>
      </w:r>
      <w:proofErr w:type="spellEnd"/>
      <w:r w:rsidRPr="00CB09E9">
        <w:rPr>
          <w:rFonts w:ascii="Arial" w:eastAsia="Times New Roman" w:hAnsi="Arial" w:cs="Arial"/>
          <w:color w:val="000000" w:themeColor="text1"/>
          <w:sz w:val="24"/>
          <w:szCs w:val="24"/>
          <w:lang w:eastAsia="ru-RU"/>
        </w:rPr>
        <w:t>, которая является центром лыжного спорта. Здесь проходят лыжные гонки в рамках Кубка Липецкой области, открытые Первенство муниципального округа - лыжный марафон, лыжный спринт, где принимают участие не только лыжники Липецкой области, но и Воронежской, Тульской областей.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Основная наша задача на ближайший период - привлечь максимальное количество жителей округа к регулярным занятиям спортом, сохранить и приумножить уже достигнутые спортивные результаты и спортивные традиции.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Сфера физической культуры и спорта Становлянского округа характеризуется высокими показателями охвата населения, систематически занимающегося физической культурой и спортом.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такого населения в 2023 году в Становлянском округе составила 57,3% населения, что на 4,2 % больше, чем в 2022 году (рисунок 1.1.6.). В 2019 году Становлянский округ занял 4 место в рейтинге по данному показателю среди муниципальных образований Липецкой области, а в 2022, к сожалению, произошло уменьшение показателя, связанно с вводимыми карантинными ограничениями во время пандемии COVID-19. После отмены всех ограничений, население начало проявлять активный интерес к занятиям спортом и участию в спортивных мероприятиях.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lastRenderedPageBreak/>
        <w:drawing>
          <wp:inline distT="0" distB="0" distL="0" distR="0" wp14:anchorId="5A03F4FD" wp14:editId="619E261E">
            <wp:extent cx="4735195" cy="4115486"/>
            <wp:effectExtent l="0" t="0" r="8255" b="0"/>
            <wp:docPr id="3" name="Рисунок 3" descr="http://ru48.registrnpa.ru/upload_images/291419/1_html_cd039199fb1e6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u48.registrnpa.ru/upload_images/291419/1_html_cd039199fb1e606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3556" cy="4122753"/>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1.1.6. Доля населения, систематически занимающиеся физической культурой и спортом в 2023 году,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1.7. Агропромышленный комплекс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Становлянский округ сельскохозяйственный, специализирующийся на выращивании зерновых, технических культур и в молочном животноводстве. В состав АПК входят 11 обществ с ограниченной ответственностью, 2 акционерных общества, 46 индивидуальных предпринимателей, крестьянских (фермерских) хозяйств и кооперативов, 6329 личных подсобных хозяйств - граждан производящих сельскохозяйственную продукцию. Своей продукцией агропромышленный сектор снабжает не только жителей округа, но и жителей других регионов России.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Ведущими перспективными предприятиями отрасли сельского хозяйства являются: АО имени Лермонтова, ООО "Датский бекон", ООО "Грунин Воргол - Агро-Инвест", ООО "</w:t>
      </w:r>
      <w:proofErr w:type="spellStart"/>
      <w:r w:rsidRPr="00CB09E9">
        <w:rPr>
          <w:rFonts w:ascii="Arial" w:eastAsia="Times New Roman" w:hAnsi="Arial" w:cs="Arial"/>
          <w:color w:val="000000" w:themeColor="text1"/>
          <w:spacing w:val="-2"/>
          <w:sz w:val="24"/>
          <w:szCs w:val="24"/>
          <w:lang w:eastAsia="ru-RU"/>
        </w:rPr>
        <w:t>Становлянское</w:t>
      </w:r>
      <w:proofErr w:type="spellEnd"/>
      <w:r w:rsidRPr="00CB09E9">
        <w:rPr>
          <w:rFonts w:ascii="Arial" w:eastAsia="Times New Roman" w:hAnsi="Arial" w:cs="Arial"/>
          <w:color w:val="000000" w:themeColor="text1"/>
          <w:spacing w:val="-2"/>
          <w:sz w:val="24"/>
          <w:szCs w:val="24"/>
          <w:lang w:eastAsia="ru-RU"/>
        </w:rPr>
        <w:t>", ООО "Альтаир - Липецк", ООО "</w:t>
      </w:r>
      <w:proofErr w:type="spellStart"/>
      <w:r w:rsidRPr="00CB09E9">
        <w:rPr>
          <w:rFonts w:ascii="Arial" w:eastAsia="Times New Roman" w:hAnsi="Arial" w:cs="Arial"/>
          <w:color w:val="000000" w:themeColor="text1"/>
          <w:spacing w:val="-2"/>
          <w:sz w:val="24"/>
          <w:szCs w:val="24"/>
          <w:lang w:eastAsia="ru-RU"/>
        </w:rPr>
        <w:t>Экосад</w:t>
      </w:r>
      <w:proofErr w:type="spellEnd"/>
      <w:r w:rsidRPr="00CB09E9">
        <w:rPr>
          <w:rFonts w:ascii="Arial" w:eastAsia="Times New Roman" w:hAnsi="Arial" w:cs="Arial"/>
          <w:color w:val="000000" w:themeColor="text1"/>
          <w:spacing w:val="-2"/>
          <w:sz w:val="24"/>
          <w:szCs w:val="24"/>
          <w:lang w:eastAsia="ru-RU"/>
        </w:rPr>
        <w:t>", АО "Агрофирма "Заречье".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Сельскохозяйственные угодья Становлянского округа занимают 112113 га, из них под пашней занято 90798 га, под сенокосами 2387 га, под пастбищами 18937 га и под прочими с/х угодьями - 1170 га. В структуре посевных площадей зерновые культуры занимали 64,1 %, технические - 20,1 %, кормовые - 2 %. Машинотракторный парк хозяйств округа насчитывает 126 грузовых автомашин, 174 тракторов, 64 зерноуборочных комбайнов, 6 единиц самоходной кормоуборочной техники. В сельскохозяйственных предприятиях округа занято более 1800 человек.</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Посевные площади в сельскохозяйственных предприятиях Становлянского округа сохраняются. Наряду с этим основным направлением работы отрасли растениеводства является совершенствование и развитие кормовой базы, укрепление и расширение картофелеводства и </w:t>
      </w:r>
      <w:proofErr w:type="spellStart"/>
      <w:r w:rsidRPr="00CB09E9">
        <w:rPr>
          <w:rFonts w:ascii="Arial" w:eastAsia="Times New Roman" w:hAnsi="Arial" w:cs="Arial"/>
          <w:color w:val="000000" w:themeColor="text1"/>
          <w:spacing w:val="-2"/>
          <w:sz w:val="24"/>
          <w:szCs w:val="24"/>
          <w:lang w:eastAsia="ru-RU"/>
        </w:rPr>
        <w:t>зернопроизводства</w:t>
      </w:r>
      <w:proofErr w:type="spellEnd"/>
      <w:r w:rsidRPr="00CB09E9">
        <w:rPr>
          <w:rFonts w:ascii="Arial" w:eastAsia="Times New Roman" w:hAnsi="Arial" w:cs="Arial"/>
          <w:color w:val="000000" w:themeColor="text1"/>
          <w:spacing w:val="-2"/>
          <w:sz w:val="24"/>
          <w:szCs w:val="24"/>
          <w:lang w:eastAsia="ru-RU"/>
        </w:rPr>
        <w:t>. Производством зерна занимаются все хозяйства округа. Производством рапса занимаются: ООО "</w:t>
      </w:r>
      <w:proofErr w:type="spellStart"/>
      <w:r w:rsidRPr="00CB09E9">
        <w:rPr>
          <w:rFonts w:ascii="Arial" w:eastAsia="Times New Roman" w:hAnsi="Arial" w:cs="Arial"/>
          <w:color w:val="000000" w:themeColor="text1"/>
          <w:spacing w:val="-2"/>
          <w:sz w:val="24"/>
          <w:szCs w:val="24"/>
          <w:lang w:eastAsia="ru-RU"/>
        </w:rPr>
        <w:t>Чернолес</w:t>
      </w:r>
      <w:proofErr w:type="spellEnd"/>
      <w:r w:rsidRPr="00CB09E9">
        <w:rPr>
          <w:rFonts w:ascii="Arial" w:eastAsia="Times New Roman" w:hAnsi="Arial" w:cs="Arial"/>
          <w:color w:val="000000" w:themeColor="text1"/>
          <w:spacing w:val="-2"/>
          <w:sz w:val="24"/>
          <w:szCs w:val="24"/>
          <w:lang w:eastAsia="ru-RU"/>
        </w:rPr>
        <w:t xml:space="preserve">", ООО "Датский бекон", ООО "Истоки", ИП главы КФХ. Производством </w:t>
      </w:r>
      <w:r w:rsidRPr="00CB09E9">
        <w:rPr>
          <w:rFonts w:ascii="Arial" w:eastAsia="Times New Roman" w:hAnsi="Arial" w:cs="Arial"/>
          <w:color w:val="000000" w:themeColor="text1"/>
          <w:spacing w:val="-2"/>
          <w:sz w:val="24"/>
          <w:szCs w:val="24"/>
          <w:lang w:eastAsia="ru-RU"/>
        </w:rPr>
        <w:lastRenderedPageBreak/>
        <w:t xml:space="preserve">сахарной свёклы занимаются: АО имени Лермонтова, ООО "АФ Елецкий", ООО "Курск </w:t>
      </w:r>
      <w:proofErr w:type="spellStart"/>
      <w:r w:rsidRPr="00CB09E9">
        <w:rPr>
          <w:rFonts w:ascii="Arial" w:eastAsia="Times New Roman" w:hAnsi="Arial" w:cs="Arial"/>
          <w:color w:val="000000" w:themeColor="text1"/>
          <w:spacing w:val="-2"/>
          <w:sz w:val="24"/>
          <w:szCs w:val="24"/>
          <w:lang w:eastAsia="ru-RU"/>
        </w:rPr>
        <w:t>Агроактив</w:t>
      </w:r>
      <w:proofErr w:type="spellEnd"/>
      <w:r w:rsidRPr="00CB09E9">
        <w:rPr>
          <w:rFonts w:ascii="Arial" w:eastAsia="Times New Roman" w:hAnsi="Arial" w:cs="Arial"/>
          <w:color w:val="000000" w:themeColor="text1"/>
          <w:spacing w:val="-2"/>
          <w:sz w:val="24"/>
          <w:szCs w:val="24"/>
          <w:lang w:eastAsia="ru-RU"/>
        </w:rPr>
        <w:t>", АО "АПО Аврора" и ИП главы КФХ.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В округе имеется четыре коллективных хозяйства, занимающихся животноводством. В животноводческой отрасли округа за 2024 год производственные и экономические показатели не увеличились по сравнению с уровнем 2023 года. В прошлом году в крупных хозяйствах насчитывалось 3470 голов крупного рогатого скота, в том числе 1371 корова. На сегодняшний день количество крупнорогатого скота составляет 2974 (-496 по отношению с предыдущим годом), в т.ч. 1133 коров (- 238 по отношению с предыдущим годом). Надой на одну фуражную корову в 2023 году составил 6452 кг, а в 2022 году 7003 кг, сократилось на 552 кг. Лучших результатов добились животноводы АО им. Лермонтова, ООО "</w:t>
      </w:r>
      <w:proofErr w:type="spellStart"/>
      <w:r w:rsidRPr="00CB09E9">
        <w:rPr>
          <w:rFonts w:ascii="Arial" w:eastAsia="Times New Roman" w:hAnsi="Arial" w:cs="Arial"/>
          <w:color w:val="000000" w:themeColor="text1"/>
          <w:spacing w:val="-2"/>
          <w:sz w:val="24"/>
          <w:szCs w:val="24"/>
          <w:lang w:eastAsia="ru-RU"/>
        </w:rPr>
        <w:t>Чернолес</w:t>
      </w:r>
      <w:proofErr w:type="spellEnd"/>
      <w:r w:rsidRPr="00CB09E9">
        <w:rPr>
          <w:rFonts w:ascii="Arial" w:eastAsia="Times New Roman" w:hAnsi="Arial" w:cs="Arial"/>
          <w:color w:val="000000" w:themeColor="text1"/>
          <w:spacing w:val="-2"/>
          <w:sz w:val="24"/>
          <w:szCs w:val="24"/>
          <w:lang w:eastAsia="ru-RU"/>
        </w:rPr>
        <w:t>". В 2023 году реализовано скота КРС 438,4 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Успешно реализуется новый для Становлянского округа проект сферы агропромышленного комплекса по закладке яблоневых садов интенсивного типа. ООО "</w:t>
      </w:r>
      <w:proofErr w:type="spellStart"/>
      <w:r w:rsidRPr="00CB09E9">
        <w:rPr>
          <w:rFonts w:ascii="Arial" w:eastAsia="Times New Roman" w:hAnsi="Arial" w:cs="Arial"/>
          <w:color w:val="000000" w:themeColor="text1"/>
          <w:spacing w:val="-2"/>
          <w:sz w:val="24"/>
          <w:szCs w:val="24"/>
          <w:lang w:eastAsia="ru-RU"/>
        </w:rPr>
        <w:t>ЭкоСад</w:t>
      </w:r>
      <w:proofErr w:type="spellEnd"/>
      <w:r w:rsidRPr="00CB09E9">
        <w:rPr>
          <w:rFonts w:ascii="Arial" w:eastAsia="Times New Roman" w:hAnsi="Arial" w:cs="Arial"/>
          <w:color w:val="000000" w:themeColor="text1"/>
          <w:spacing w:val="-2"/>
          <w:sz w:val="24"/>
          <w:szCs w:val="24"/>
          <w:lang w:eastAsia="ru-RU"/>
        </w:rPr>
        <w:t>" заложило сады на площади более 50 га, построено фруктохранилище на 600 тонн.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В стадии реконструкции ООО "Становлянский маслодельный завод". Предприятие планирует вложить в обновление зданий и сооружений более 10 млн. рублей. Производством экологически чистой молочной продукции занимается индивидуальный предприниматель гл. КФХ </w:t>
      </w:r>
      <w:proofErr w:type="spellStart"/>
      <w:r w:rsidRPr="00CB09E9">
        <w:rPr>
          <w:rFonts w:ascii="Arial" w:eastAsia="Times New Roman" w:hAnsi="Arial" w:cs="Arial"/>
          <w:color w:val="000000" w:themeColor="text1"/>
          <w:spacing w:val="-2"/>
          <w:sz w:val="24"/>
          <w:szCs w:val="24"/>
          <w:lang w:eastAsia="ru-RU"/>
        </w:rPr>
        <w:t>Букарев</w:t>
      </w:r>
      <w:proofErr w:type="spellEnd"/>
      <w:r w:rsidRPr="00CB09E9">
        <w:rPr>
          <w:rFonts w:ascii="Arial" w:eastAsia="Times New Roman" w:hAnsi="Arial" w:cs="Arial"/>
          <w:color w:val="000000" w:themeColor="text1"/>
          <w:spacing w:val="-2"/>
          <w:sz w:val="24"/>
          <w:szCs w:val="24"/>
          <w:lang w:eastAsia="ru-RU"/>
        </w:rPr>
        <w:t xml:space="preserve"> А.А.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1.8. Экономическое развитие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Развитие малого и среднего предпринимательства в Становлянском округе является стратегическим фактором, определяющим устойчивое развитие экономики округа, на сегодня остается одной из основных возможностей создания новых рабочих мест, способствует формированию и поддержке конкурентной среды, решению социальных проблем, поэтому необходимо приложить все усилия для создания благоприятной среды для развития предпринимательства.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Развитие этого сектора экономики позволяет снизить уровень безработицы, способствует развитию различных сфер деятельности и дополнительному поступлению средств в доходную часть бюджета.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Организациями малого и среднего предпринимательства охвачена не только сфера торговли и услуг, но и переработка сельскохозяйственной продукции, производство молока и мяса, строительство, обрабатывающее производство и другие виды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По данным Единого реестра субъектов малого и среднего предпринимательства на территории Становлянского округа количество зарегистрированных субъектов предпринимательства на 1 января 2024 года составляет 462 субъекта, в том числе 399 индивидуальных предпринимателя, 63 предприятия. Количество самозанятых - 746 человек. Число субъектов малого и среднего предпринимательства в расчете на 10 тыс. человек населения в 2023 году составляет 539 единиц.</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Распределение индивидуальных предпринимателей (включая глав КФХ) по видам экономической деятельности (по данным </w:t>
      </w:r>
      <w:proofErr w:type="spellStart"/>
      <w:r w:rsidRPr="00CB09E9">
        <w:rPr>
          <w:rFonts w:ascii="Arial" w:eastAsia="Times New Roman" w:hAnsi="Arial" w:cs="Arial"/>
          <w:color w:val="000000" w:themeColor="text1"/>
          <w:spacing w:val="-2"/>
          <w:sz w:val="24"/>
          <w:szCs w:val="24"/>
          <w:lang w:eastAsia="ru-RU"/>
        </w:rPr>
        <w:t>Липецкстат</w:t>
      </w:r>
      <w:proofErr w:type="spellEnd"/>
      <w:r w:rsidRPr="00CB09E9">
        <w:rPr>
          <w:rFonts w:ascii="Arial" w:eastAsia="Times New Roman" w:hAnsi="Arial" w:cs="Arial"/>
          <w:color w:val="000000" w:themeColor="text1"/>
          <w:spacing w:val="-2"/>
          <w:sz w:val="24"/>
          <w:szCs w:val="24"/>
          <w:lang w:eastAsia="ru-RU"/>
        </w:rPr>
        <w:t>) (на 01.01.2024 года) представлена на рисунке 1.8.1. В целом структура распределения субъектов предпринимательства по видам экономической деятельности в Становлянском округе не отличается от структуры в целом по Липецкой области. Наиболее привлекательными сферами деятельности для малого и среднего бизнеса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1) транспортировка и хранение 44,8%;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2) сфера торговли 37,9 %;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3) сельское хозяйство 10 %;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lastRenderedPageBreak/>
        <w:t>4) обрабатывающее производство 2,6 %;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5) строительство 3,7 %.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64DA64C0" wp14:editId="11B78134">
            <wp:extent cx="4991100" cy="2804916"/>
            <wp:effectExtent l="0" t="0" r="0" b="0"/>
            <wp:docPr id="4" name="Рисунок 4" descr="http://ru48.registrnpa.ru/upload_images/291419/1_html_8647af3bc552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48.registrnpa.ru/upload_images/291419/1_html_8647af3bc55216.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04176" cy="2812264"/>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1.8.1. Количество субъектов МСП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Всё это говорит о том, что необходимо сделать акцент на стимулировании перемещения предпринимательства из сферы транспортировки и торговли в сферы производства, инноваций, строительства, ЖКХ, оказания социально значимых услуг, организации туризма с внедрение прогрессивных технологий в этих сферах, направленных на увеличение объёмов работ и создание новых рабочих мест.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Показатели в сфере малого и среднего предпринимательства представлены в таблице 1.8.1.</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1.8.1.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Основные показатели в сфере малого и среднего предпринимательства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863"/>
        <w:gridCol w:w="788"/>
        <w:gridCol w:w="786"/>
        <w:gridCol w:w="727"/>
        <w:gridCol w:w="727"/>
        <w:gridCol w:w="727"/>
        <w:gridCol w:w="721"/>
      </w:tblGrid>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Показатель</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2019 год</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2020 год</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2021 год</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2022 год</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2023 год</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2024 год</w:t>
            </w:r>
          </w:p>
        </w:tc>
      </w:tr>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субъектов МСП, ед.</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479</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470</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470</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455</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462</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479</w:t>
            </w:r>
          </w:p>
        </w:tc>
      </w:tr>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юридических лиц, ед.</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r>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индивидуальных предпринимателей, ед.</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401</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400</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407</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391</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399</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418</w:t>
            </w:r>
          </w:p>
        </w:tc>
      </w:tr>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субъектов МСП в расчете на 10 тыс. чел. населения, ед.</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281,8</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279,4</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282</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545</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539</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753</w:t>
            </w:r>
          </w:p>
        </w:tc>
      </w:tr>
      <w:tr w:rsidR="008C7515" w:rsidRPr="008C7515" w:rsidTr="008C7515">
        <w:tc>
          <w:tcPr>
            <w:tcW w:w="2603"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tc>
        <w:tc>
          <w:tcPr>
            <w:tcW w:w="422"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38,9</w:t>
            </w:r>
          </w:p>
        </w:tc>
        <w:tc>
          <w:tcPr>
            <w:tcW w:w="421"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22,1</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51,7</w:t>
            </w:r>
          </w:p>
        </w:tc>
        <w:tc>
          <w:tcPr>
            <w:tcW w:w="389" w:type="pct"/>
            <w:tcBorders>
              <w:top w:val="single" w:sz="6" w:space="0" w:color="000000"/>
              <w:left w:val="single" w:sz="6" w:space="0" w:color="000000"/>
              <w:bottom w:val="single" w:sz="6" w:space="0" w:color="000000"/>
              <w:right w:val="single" w:sz="6" w:space="0" w:color="000000"/>
            </w:tcBorders>
            <w:shd w:val="clear" w:color="auto" w:fill="auto"/>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w:t>
            </w:r>
          </w:p>
        </w:tc>
        <w:tc>
          <w:tcPr>
            <w:tcW w:w="38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60,1</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Наибольшая активность в малом бизнесе наблюдается в сфере потребительского рынка. Функционируют 117 торговых точек, 26 предприятий общественного питания, 31 предприятие бытового обслуживания.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Крупные торговые сети стали одним из самых быстрорастущих и успешных отраслей экономики. В округе работают продовольственные сети федерального масштаба: "Пятерочка", "Магнит", "Победа", "Красное &amp; Белое". У потребителей увеличился спрос на сервисы доставки. Наиболее популярным в округе является сервис доставки </w:t>
      </w:r>
      <w:proofErr w:type="spellStart"/>
      <w:r w:rsidRPr="00CB09E9">
        <w:rPr>
          <w:rFonts w:ascii="Arial" w:eastAsia="Times New Roman" w:hAnsi="Arial" w:cs="Arial"/>
          <w:color w:val="000000" w:themeColor="text1"/>
          <w:sz w:val="24"/>
          <w:szCs w:val="24"/>
          <w:lang w:eastAsia="ru-RU"/>
        </w:rPr>
        <w:t>Wildberries</w:t>
      </w:r>
      <w:proofErr w:type="spellEnd"/>
      <w:r w:rsidRPr="00CB09E9">
        <w:rPr>
          <w:rFonts w:ascii="Arial" w:eastAsia="Times New Roman" w:hAnsi="Arial" w:cs="Arial"/>
          <w:color w:val="000000" w:themeColor="text1"/>
          <w:sz w:val="24"/>
          <w:szCs w:val="24"/>
          <w:lang w:eastAsia="ru-RU"/>
        </w:rPr>
        <w:t xml:space="preserve"> и </w:t>
      </w:r>
      <w:proofErr w:type="spellStart"/>
      <w:r w:rsidRPr="00CB09E9">
        <w:rPr>
          <w:rFonts w:ascii="Arial" w:eastAsia="Times New Roman" w:hAnsi="Arial" w:cs="Arial"/>
          <w:color w:val="000000" w:themeColor="text1"/>
          <w:sz w:val="24"/>
          <w:szCs w:val="24"/>
          <w:lang w:eastAsia="ru-RU"/>
        </w:rPr>
        <w:t>Ozon</w:t>
      </w:r>
      <w:proofErr w:type="spellEnd"/>
      <w:r w:rsidRPr="00CB09E9">
        <w:rPr>
          <w:rFonts w:ascii="Arial" w:eastAsia="Times New Roman" w:hAnsi="Arial" w:cs="Arial"/>
          <w:color w:val="000000" w:themeColor="text1"/>
          <w:sz w:val="24"/>
          <w:szCs w:val="24"/>
          <w:lang w:eastAsia="ru-RU"/>
        </w:rPr>
        <w:t>. В связи с этим наблюдается тенденция закрытия малых предприятий.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Некоторые сельские поселения не имеют стационарных розничных предприятий. Организация торгового и бытового обслуживания жителей осуществляется через развозную торговлю и выездное обслуживание (охвачено 41 населенный пункт, 2 автолавки по 5 маршрутам).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Ярмарочная торговля осуществляется на одиннадцати постоянно действующих площадках, общее количество мест на ярмарках - 150. Показатели в сфере потребительского рынка отражены в таблице 1.8.2.</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1.8.2.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Основные показатели потребительского рынка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722"/>
        <w:gridCol w:w="937"/>
        <w:gridCol w:w="936"/>
        <w:gridCol w:w="936"/>
        <w:gridCol w:w="936"/>
        <w:gridCol w:w="936"/>
        <w:gridCol w:w="936"/>
      </w:tblGrid>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Показатели</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2019 год</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2020 год</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2021 год</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2022 год</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2023 год</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2024 год</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субъектов торговли, ед.</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122</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124</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114</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113</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114</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субъектов общественного питания, ед.</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38</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субъектов бытового обслуживания, ед.</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Торговая площадь,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8233,7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7824,8</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8187,4</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8010,3</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8851,1</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9081,8</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Обеспеченность торговыми площадями,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./1000 чел</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478,6</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454,8</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481,8</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476,1</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538,7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549,7</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Оборот розничной торговли (по крупным и средним предприятиям), млн. руб.</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1153</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1294</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2052</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2567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3402</w:t>
            </w:r>
          </w:p>
        </w:tc>
      </w:tr>
      <w:tr w:rsidR="008C7515" w:rsidRPr="008C7515" w:rsidTr="008C7515">
        <w:tc>
          <w:tcPr>
            <w:tcW w:w="199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Оборот общественного питания, млн. руб.</w:t>
            </w:r>
          </w:p>
        </w:tc>
        <w:tc>
          <w:tcPr>
            <w:tcW w:w="50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48,12</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28,5</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38,6</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46,63</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54,27</w:t>
            </w:r>
          </w:p>
        </w:tc>
        <w:tc>
          <w:tcPr>
            <w:tcW w:w="50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60,61</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протяжении 2019 - 2021 годов и в 2023 году оборот розничной торговли имел тенденцию к росту. За 2022 год оборот розничной торговли составил 5111,17 млн. рублей, что в сопоставимых ценах на 6 % больше, чем за 2021 год (рисунок 1.8.2).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lastRenderedPageBreak/>
        <w:drawing>
          <wp:inline distT="0" distB="0" distL="0" distR="0" wp14:anchorId="29580799" wp14:editId="11E64BBB">
            <wp:extent cx="5686425" cy="4308686"/>
            <wp:effectExtent l="0" t="0" r="0" b="0"/>
            <wp:docPr id="5" name="Рисунок 5" descr="http://ru48.registrnpa.ru/upload_images/291419/1_html_b772eda30d278d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u48.registrnpa.ru/upload_images/291419/1_html_b772eda30d278d8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9011" cy="4318222"/>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1.8.2. Темпы роста оборота розничной торговли и оборота общественного питания по крупным и средним предприятиям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Объем инвестиций в основной капитал (за исключением бюджетных средств) в расчете на 1 жителя в 2022 году составил 127,42 тыс. руб., в то же время по данному показателю округ занимал 3 место среди муниципальных образований области (рисунок 1.8.3).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31283700" wp14:editId="7AFFDADC">
            <wp:extent cx="5650710" cy="3181350"/>
            <wp:effectExtent l="0" t="0" r="7620" b="0"/>
            <wp:docPr id="6" name="Рисунок 6" descr="http://ru48.registrnpa.ru/upload_images/291419/1_html_15a92b14658cb0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ru48.registrnpa.ru/upload_images/291419/1_html_15a92b14658cb02f.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2069" cy="3187745"/>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1.8.3. Объем инвестиций в основной капитал</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В экономику округа в 2023 году было вложено более 1 млрд. рублей бюджетных и частных инвестиций, в 2024 году 1 млрд. 564 тыс. рублей. На душу населения за 2024 год приходится 136,7 тыс. руб. инвестиций, что в два раза больше значения предшествующего года (62,7 тыс. рублей).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структуре инвестиций лидирующую позицию занимают вложения в сельское хозяйства - 35 % (или 438,9млн.руб.), отрасль транспорт и связь - 27%, индивидуальное жилищное строительство - 20 % (рисунок 1.8.4.).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6ED2BA3D" wp14:editId="5050D535">
            <wp:extent cx="4723869" cy="2654736"/>
            <wp:effectExtent l="0" t="0" r="635" b="0"/>
            <wp:docPr id="7" name="Рисунок 7" descr="http://ru48.registrnpa.ru/upload_images/291419/1_html_1dba78bf6c0776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u48.registrnpa.ru/upload_images/291419/1_html_1dba78bf6c077604.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4809" cy="2660884"/>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1.8.4. Структура инвестиций в основной капитал Становлянского округа за 2024 год по видам экономической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1.9. Туризм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Развитию туризма на территории Становлянского округа способствует хорошая дорожная сеть и удобная логистика, обусловленная наличием федеральной трассы М-4 "Дон" и исторически сложившейся сетью дорог.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Становлянский округ расположен на восточных отрогах Среднерусской возвышенности и относится к лесостепной зоне. Здесь немало балок, оврагов, глубоких и узких долин. По территории округа протекают 13 речек и ручьев, относящихся к бассейну верхнего Дона, есть 18 искусственных прудов.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сфере туризма занято относительно небольшое число работоспособного населения. На предприятиях, связанных со сферой туризма занято менее 100 человек. Население интересуется историей и культурой края. Муниципальные учреждения культуры ведут активную просветительскую работу, направленную на сохранение культурного наследия.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территории Становлянского округа расположено 7 действующих храмов, значительное количество памятников воинской и трудовой славы, исторических памятников, мемориальных мест, музеев. Общее количество уникальных памятников истории и культуры, зарегистрированных в округе, составляет 18 единиц, представляющие собой памятники архитектуры, из них 1 - федерального значения, 9 - регионального, 8 - вновь выявленные, которым впоследствии будет установлен статус охраны.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Много памятных мест, связанных с жизнью и творчеством знаменитых людей России расположены в Становлянском округе.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Одним из наиболее интересных мест нашего края является село Пальна - Михайловка. Здесь находится усадьба Стаховичей с чудесным парком, </w:t>
      </w:r>
      <w:r w:rsidRPr="00CB09E9">
        <w:rPr>
          <w:rFonts w:ascii="Arial" w:eastAsia="Times New Roman" w:hAnsi="Arial" w:cs="Arial"/>
          <w:color w:val="000000" w:themeColor="text1"/>
          <w:sz w:val="24"/>
          <w:szCs w:val="24"/>
          <w:lang w:eastAsia="ru-RU"/>
        </w:rPr>
        <w:lastRenderedPageBreak/>
        <w:t xml:space="preserve">сохранившимся до сего дня, которая с конца 18 столетия принадлежала М.В. </w:t>
      </w:r>
      <w:proofErr w:type="spellStart"/>
      <w:r w:rsidRPr="00CB09E9">
        <w:rPr>
          <w:rFonts w:ascii="Arial" w:eastAsia="Times New Roman" w:hAnsi="Arial" w:cs="Arial"/>
          <w:color w:val="000000" w:themeColor="text1"/>
          <w:sz w:val="24"/>
          <w:szCs w:val="24"/>
          <w:lang w:eastAsia="ru-RU"/>
        </w:rPr>
        <w:t>Перваго</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Ансамбль "Усадьба Стаховичей" зарегистрирована как объект культурного наследия федерального значения в едином государственном реестре объектов культурного наследия (памятников истории и культуры) народов Российской Федерации. В ансамбль вошли три объекта: "Главный дом", "Дом актера", "Усыпальница Стаховичей".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Привлекательным объектом показа в Становлянском округе можно считать усадьбу предков нобелевского лауреата Ивана Бунина в д. Озёрки. Усадьба досталась матери писателя в 1881 году. В начале 90-х годов этот дом был продан. В настоящее время он восстановлен с целью воссоздания музея. Здесь на регулярной основе проводятся экскурсии, которые носят сезонный характер, обусловленный спецификой объекта (апрель - октябрь).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Становлянском округе есть локации, связанные с предками М.Ю. Лермонтова. В д. </w:t>
      </w:r>
      <w:proofErr w:type="spellStart"/>
      <w:r w:rsidRPr="00CB09E9">
        <w:rPr>
          <w:rFonts w:ascii="Arial" w:eastAsia="Times New Roman" w:hAnsi="Arial" w:cs="Arial"/>
          <w:color w:val="000000" w:themeColor="text1"/>
          <w:sz w:val="24"/>
          <w:szCs w:val="24"/>
          <w:lang w:eastAsia="ru-RU"/>
        </w:rPr>
        <w:t>Кропотово-Лермонтово</w:t>
      </w:r>
      <w:proofErr w:type="spellEnd"/>
      <w:r w:rsidRPr="00CB09E9">
        <w:rPr>
          <w:rFonts w:ascii="Arial" w:eastAsia="Times New Roman" w:hAnsi="Arial" w:cs="Arial"/>
          <w:color w:val="000000" w:themeColor="text1"/>
          <w:sz w:val="24"/>
          <w:szCs w:val="24"/>
          <w:lang w:eastAsia="ru-RU"/>
        </w:rPr>
        <w:t xml:space="preserve"> располагалась усадьбы отца поэта, в которой он часто гостил во время учебы в Московском университетском пансионе. В настоящее время можно определить, где стоял барский дом, предположить размещение хозяйственных построек. В парке прослеживается центральная аллея, ведущая к речке </w:t>
      </w:r>
      <w:proofErr w:type="spellStart"/>
      <w:r w:rsidRPr="00CB09E9">
        <w:rPr>
          <w:rFonts w:ascii="Arial" w:eastAsia="Times New Roman" w:hAnsi="Arial" w:cs="Arial"/>
          <w:color w:val="000000" w:themeColor="text1"/>
          <w:sz w:val="24"/>
          <w:szCs w:val="24"/>
          <w:lang w:eastAsia="ru-RU"/>
        </w:rPr>
        <w:t>Любашовке</w:t>
      </w:r>
      <w:proofErr w:type="spellEnd"/>
      <w:r w:rsidRPr="00CB09E9">
        <w:rPr>
          <w:rFonts w:ascii="Arial" w:eastAsia="Times New Roman" w:hAnsi="Arial" w:cs="Arial"/>
          <w:color w:val="000000" w:themeColor="text1"/>
          <w:sz w:val="24"/>
          <w:szCs w:val="24"/>
          <w:lang w:eastAsia="ru-RU"/>
        </w:rPr>
        <w:t xml:space="preserve">. </w:t>
      </w:r>
      <w:proofErr w:type="spellStart"/>
      <w:r w:rsidRPr="00CB09E9">
        <w:rPr>
          <w:rFonts w:ascii="Arial" w:eastAsia="Times New Roman" w:hAnsi="Arial" w:cs="Arial"/>
          <w:color w:val="000000" w:themeColor="text1"/>
          <w:sz w:val="24"/>
          <w:szCs w:val="24"/>
          <w:lang w:eastAsia="ru-RU"/>
        </w:rPr>
        <w:t>Шипово</w:t>
      </w:r>
      <w:proofErr w:type="spellEnd"/>
      <w:r w:rsidRPr="00CB09E9">
        <w:rPr>
          <w:rFonts w:ascii="Arial" w:eastAsia="Times New Roman" w:hAnsi="Arial" w:cs="Arial"/>
          <w:color w:val="000000" w:themeColor="text1"/>
          <w:sz w:val="24"/>
          <w:szCs w:val="24"/>
          <w:lang w:eastAsia="ru-RU"/>
        </w:rPr>
        <w:t xml:space="preserve"> является местом захоронения предков поэта, где есть мемориальные объекты.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Объектом, привлекающим внимание самодеятельных туристов, является и с. </w:t>
      </w:r>
      <w:proofErr w:type="spellStart"/>
      <w:r w:rsidRPr="00CB09E9">
        <w:rPr>
          <w:rFonts w:ascii="Arial" w:eastAsia="Times New Roman" w:hAnsi="Arial" w:cs="Arial"/>
          <w:color w:val="000000" w:themeColor="text1"/>
          <w:sz w:val="24"/>
          <w:szCs w:val="24"/>
          <w:lang w:eastAsia="ru-RU"/>
        </w:rPr>
        <w:t>Хрущёво-Лёвшино</w:t>
      </w:r>
      <w:proofErr w:type="spellEnd"/>
      <w:r w:rsidRPr="00CB09E9">
        <w:rPr>
          <w:rFonts w:ascii="Arial" w:eastAsia="Times New Roman" w:hAnsi="Arial" w:cs="Arial"/>
          <w:color w:val="000000" w:themeColor="text1"/>
          <w:sz w:val="24"/>
          <w:szCs w:val="24"/>
          <w:lang w:eastAsia="ru-RU"/>
        </w:rPr>
        <w:t xml:space="preserve"> - поселение, где родился наш знаменитый земляк. Усадьба досталась М.М. Пришвину в 1914 году. Поселение не сохранилось, однако на местном кладбище сохранилась могила матери писателя.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Поистине природной жемчужиной России является ФГУП-дендропарк "Лесостепная опытно-селекционная станция". Она была организована в 1924 году Н.К. </w:t>
      </w:r>
      <w:proofErr w:type="spellStart"/>
      <w:r w:rsidRPr="00CB09E9">
        <w:rPr>
          <w:rFonts w:ascii="Arial" w:eastAsia="Times New Roman" w:hAnsi="Arial" w:cs="Arial"/>
          <w:color w:val="000000" w:themeColor="text1"/>
          <w:sz w:val="24"/>
          <w:szCs w:val="24"/>
          <w:lang w:eastAsia="ru-RU"/>
        </w:rPr>
        <w:t>Веховым</w:t>
      </w:r>
      <w:proofErr w:type="spellEnd"/>
      <w:r w:rsidRPr="00CB09E9">
        <w:rPr>
          <w:rFonts w:ascii="Arial" w:eastAsia="Times New Roman" w:hAnsi="Arial" w:cs="Arial"/>
          <w:color w:val="000000" w:themeColor="text1"/>
          <w:sz w:val="24"/>
          <w:szCs w:val="24"/>
          <w:lang w:eastAsia="ru-RU"/>
        </w:rPr>
        <w:t>. Основными направлениями научно-производственной деятельности дендропарка являются интродукция и акклиматизация наиболее ценных редких и перспективных для зеленого строительства видов деревьев и кустарников, испытание и изучение в условиях лесостепи, разработка и совершенствование семенного и вегетативного размножения.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Здесь собрана уникальная коллекция, состоящая из 2050 видов форм, сортов, разновидностей деревьев и кустарников - представителей </w:t>
      </w:r>
      <w:proofErr w:type="spellStart"/>
      <w:r w:rsidRPr="00CB09E9">
        <w:rPr>
          <w:rFonts w:ascii="Arial" w:eastAsia="Times New Roman" w:hAnsi="Arial" w:cs="Arial"/>
          <w:color w:val="000000" w:themeColor="text1"/>
          <w:sz w:val="24"/>
          <w:szCs w:val="24"/>
          <w:lang w:eastAsia="ru-RU"/>
        </w:rPr>
        <w:t>дендрофлоры</w:t>
      </w:r>
      <w:proofErr w:type="spellEnd"/>
      <w:r w:rsidRPr="00CB09E9">
        <w:rPr>
          <w:rFonts w:ascii="Arial" w:eastAsia="Times New Roman" w:hAnsi="Arial" w:cs="Arial"/>
          <w:color w:val="000000" w:themeColor="text1"/>
          <w:sz w:val="24"/>
          <w:szCs w:val="24"/>
          <w:lang w:eastAsia="ru-RU"/>
        </w:rPr>
        <w:t xml:space="preserve"> Средней Азии, Европы, Северной Америки.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д. </w:t>
      </w:r>
      <w:proofErr w:type="spellStart"/>
      <w:r w:rsidRPr="00CB09E9">
        <w:rPr>
          <w:rFonts w:ascii="Arial" w:eastAsia="Times New Roman" w:hAnsi="Arial" w:cs="Arial"/>
          <w:color w:val="000000" w:themeColor="text1"/>
          <w:sz w:val="24"/>
          <w:szCs w:val="24"/>
          <w:lang w:eastAsia="ru-RU"/>
        </w:rPr>
        <w:t>Барсуково</w:t>
      </w:r>
      <w:proofErr w:type="spellEnd"/>
      <w:r w:rsidRPr="00CB09E9">
        <w:rPr>
          <w:rFonts w:ascii="Arial" w:eastAsia="Times New Roman" w:hAnsi="Arial" w:cs="Arial"/>
          <w:color w:val="000000" w:themeColor="text1"/>
          <w:sz w:val="24"/>
          <w:szCs w:val="24"/>
          <w:lang w:eastAsia="ru-RU"/>
        </w:rPr>
        <w:t xml:space="preserve"> ежегодно проводиться событийный туристический фестиваль "Сиреневый рай", который собирает тысячи гостей из нашего региона и других областей России. Гости и туристы фестиваля могут воочию увидеть уникальную красоту и разнообразие видов декоративно-кустарниковых саженцев Мещёрской Лесостепной опытно-селекционной станции, насладиться концертными номерами, мастер-классами, увлекательными экскурсиями, арт-площадками.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На туристском рынке Становлянский округ представлен четырьмя средствами размещения с количеством мест размещения более 100. Туристов активно принимает база отдыха "Казанский луг", расположенная в п. Казанский. Турбаза предоставляет не только размещение, но и широкий спектр услуг: гастрономия, контактный зоопарк, катание на лошадях, </w:t>
      </w:r>
      <w:proofErr w:type="spellStart"/>
      <w:r w:rsidRPr="00CB09E9">
        <w:rPr>
          <w:rFonts w:ascii="Arial" w:eastAsia="Times New Roman" w:hAnsi="Arial" w:cs="Arial"/>
          <w:color w:val="000000" w:themeColor="text1"/>
          <w:sz w:val="24"/>
          <w:szCs w:val="24"/>
          <w:lang w:eastAsia="ru-RU"/>
        </w:rPr>
        <w:t>спа</w:t>
      </w:r>
      <w:proofErr w:type="spellEnd"/>
      <w:r w:rsidRPr="00CB09E9">
        <w:rPr>
          <w:rFonts w:ascii="Arial" w:eastAsia="Times New Roman" w:hAnsi="Arial" w:cs="Arial"/>
          <w:color w:val="000000" w:themeColor="text1"/>
          <w:sz w:val="24"/>
          <w:szCs w:val="24"/>
          <w:lang w:eastAsia="ru-RU"/>
        </w:rPr>
        <w:t>-процедуры, экскурсии в усадьбу Голицыных и др.</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Мини-отель Базилик в с. Становое и гостевой дом "</w:t>
      </w:r>
      <w:proofErr w:type="spellStart"/>
      <w:r w:rsidRPr="00CB09E9">
        <w:rPr>
          <w:rFonts w:ascii="Arial" w:eastAsia="Times New Roman" w:hAnsi="Arial" w:cs="Arial"/>
          <w:color w:val="000000" w:themeColor="text1"/>
          <w:sz w:val="24"/>
          <w:szCs w:val="24"/>
          <w:lang w:eastAsia="ru-RU"/>
        </w:rPr>
        <w:t>Smile</w:t>
      </w:r>
      <w:proofErr w:type="spellEnd"/>
      <w:r w:rsidRPr="00CB09E9">
        <w:rPr>
          <w:rFonts w:ascii="Arial" w:eastAsia="Times New Roman" w:hAnsi="Arial" w:cs="Arial"/>
          <w:color w:val="000000" w:themeColor="text1"/>
          <w:sz w:val="24"/>
          <w:szCs w:val="24"/>
          <w:lang w:eastAsia="ru-RU"/>
        </w:rPr>
        <w:t xml:space="preserve">" в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специализируются на размещении транзитных туристов и гостей, прибывших с деловыми целями.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окружном центре действуют три объекта общественного питания, на территории одного из них функционируют два гостиничных номера. Вдоль трассы М4-Дон осуществляет прием туристов и гостей кафе "Союз", а также кафе </w:t>
      </w:r>
      <w:r w:rsidRPr="00CB09E9">
        <w:rPr>
          <w:rFonts w:ascii="Arial" w:eastAsia="Times New Roman" w:hAnsi="Arial" w:cs="Arial"/>
          <w:color w:val="000000" w:themeColor="text1"/>
          <w:sz w:val="24"/>
          <w:szCs w:val="24"/>
          <w:lang w:eastAsia="ru-RU"/>
        </w:rPr>
        <w:lastRenderedPageBreak/>
        <w:t>"Казанский Луг", где посетители могут насладиться вкусной домашней едой и натуральными фермерскими продуктами, такими как молоко, сыр и сметана, а также выпечкой и блинами с творогом.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Становлянский округ входит в состав особой экономической зоны туристско-рекреационного типа возле г. Елец "Елецкого рекреационно-туристического района". Данное обстоятельство будет способствовать организации туристских маршрутов на территории Становлянского округа, строительству гостиниц, объектов придорожного сервиса, сопутствующей инфраструктуры, а также увеличению спроса на продукцию сельскохозяйственного производства.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Развитие туризма на основе кластерного подхода может сделать Становлянский округ одним из флагманов туризма в Липецкой области. Повышение конкурентоспособности возможно в результате развития кооперации в сфере туризма и формирования туристского </w:t>
      </w:r>
      <w:proofErr w:type="spellStart"/>
      <w:r w:rsidRPr="00CB09E9">
        <w:rPr>
          <w:rFonts w:ascii="Arial" w:eastAsia="Times New Roman" w:hAnsi="Arial" w:cs="Arial"/>
          <w:color w:val="000000" w:themeColor="text1"/>
          <w:sz w:val="24"/>
          <w:szCs w:val="24"/>
          <w:lang w:eastAsia="ru-RU"/>
        </w:rPr>
        <w:t>субкластера</w:t>
      </w:r>
      <w:proofErr w:type="spellEnd"/>
      <w:r w:rsidRPr="00CB09E9">
        <w:rPr>
          <w:rFonts w:ascii="Arial" w:eastAsia="Times New Roman" w:hAnsi="Arial" w:cs="Arial"/>
          <w:color w:val="000000" w:themeColor="text1"/>
          <w:sz w:val="24"/>
          <w:szCs w:val="24"/>
          <w:lang w:eastAsia="ru-RU"/>
        </w:rPr>
        <w:t xml:space="preserve"> в составе </w:t>
      </w:r>
      <w:proofErr w:type="spellStart"/>
      <w:r w:rsidRPr="00CB09E9">
        <w:rPr>
          <w:rFonts w:ascii="Arial" w:eastAsia="Times New Roman" w:hAnsi="Arial" w:cs="Arial"/>
          <w:color w:val="000000" w:themeColor="text1"/>
          <w:sz w:val="24"/>
          <w:szCs w:val="24"/>
          <w:lang w:eastAsia="ru-RU"/>
        </w:rPr>
        <w:t>Елецко</w:t>
      </w:r>
      <w:proofErr w:type="spellEnd"/>
      <w:r w:rsidRPr="00CB09E9">
        <w:rPr>
          <w:rFonts w:ascii="Arial" w:eastAsia="Times New Roman" w:hAnsi="Arial" w:cs="Arial"/>
          <w:color w:val="000000" w:themeColor="text1"/>
          <w:sz w:val="24"/>
          <w:szCs w:val="24"/>
          <w:lang w:eastAsia="ru-RU"/>
        </w:rPr>
        <w:t>-Задонской туристской агломерации, на основе имеющих выраженный спектр специализации территорий опережающего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Возможно сочетать и развивать различные виды туризма: военно-исторического, культурно-краеведческого, событийного, спортивного, экологического, познавательный, агротуризма. Возможна организация отдыха выходного дня на благоустроенных территориях с. Станового, а также вдоль р. Воргол. Радиус доступности зон кратковременного массового отдыха и отдыха выходного должен составлять 2-3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Становлянский округ имеет огромный потенциал для развития туризма. Для этого есть все необходимые условия: выгодное географическое положение и благоприятная экологическая обстановка, богатое историко-культурное наследие и неповторимая живописная природа.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 последние десять лет наблюдается рост туристского потока в среднем на 13% в год. К туристским объектам на территории Становлянского округа проявляют интерес иностранные туристы. Необходимо активное взаимодействие с туроператорами.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1.10. Жилищно-коммунальное хозяйство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Общая площадь жилых помещений, расположенных на территории Становлянского округа на 1 января 2024 года, составляет 497,2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 xml:space="preserve">., в том числе 480,4 - частный жилфонд, 99,9 % которого находится в собственности граждан; 16,8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 - муниципальный жилфонд.</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noProof/>
          <w:color w:val="000000" w:themeColor="text1"/>
          <w:sz w:val="24"/>
          <w:szCs w:val="24"/>
          <w:lang w:eastAsia="ru-RU"/>
        </w:rPr>
        <w:drawing>
          <wp:inline distT="0" distB="0" distL="0" distR="0" wp14:anchorId="253F9BB1" wp14:editId="275DF34E">
            <wp:extent cx="3751962" cy="2108541"/>
            <wp:effectExtent l="0" t="0" r="0" b="6350"/>
            <wp:docPr id="8" name="Рисунок 8" descr="http://ru48.registrnpa.ru/upload_images/291419/1_html_1d6f887464ce8e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u48.registrnpa.ru/upload_images/291419/1_html_1d6f887464ce8ef.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8004" cy="2117556"/>
                    </a:xfrm>
                    <a:prstGeom prst="rect">
                      <a:avLst/>
                    </a:prstGeom>
                    <a:noFill/>
                    <a:ln>
                      <a:noFill/>
                    </a:ln>
                  </pic:spPr>
                </pic:pic>
              </a:graphicData>
            </a:graphic>
          </wp:inline>
        </w:drawing>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Рисунок 1.10.1. Динамика жилищного фонда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На 1 января 2024 года мощность систем водоснабжения Становлянского округа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количество водозаборных сооружений - 159 единицы (все водозаборные сооружения являются артезианскими скважинами), в том числе: в опорном населенном пункте (с. Становое, далее ОНП) - 18 скважин, в прилегающих населенных пунктах - 141 скважин;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установленная мощность всех водозаборных сооружений составляет 30630 м3/сутки;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фактическая мощность всех водозаборных сооружений составляет 23997,4м3/сутки.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Исходя из суммарной суточной производительности систем водоснабжения и объема максимального суточного водопотребления, в целом по округу наблюдается наличие резерва мощности систем водоснабжения в объеме 17934,9 м3/ сутки. Дефицит мощности систем водоснабжения в Становом при максимальном суточном водопотреблении - не наблюдается.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Техническое состояние систем водоснабжения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общая протяженность водопроводных сетей составляет 357,03 км, в том числе: в ОНП - 25,2 км., в ПНП -331,83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протяженность ветхих водопроводных сетей составляет 315,3 км. или 89,8% от общей протяженности, в том числе: в ОНП -18,9 км. или 75 % от общей протяженности, в ПНП -296,4 км. или 91 % от общей протяженности;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общее число аварий на водопроводных сетях за 2022 год - 104 аварий, или 0,3 аварий на 1 км. общей протяженности, в том числе: на водопроводных сетях ОНП - 25 аварий или 1 на 1 км., на водопроводных сетях ПНП - 79 аварий или 0,26 на 1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Мощность систем водоотведения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количество канализационных насосных станций - 1 станция, расположена в ОНП;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установленная мощность всех канализационных насосных станций составляет 250 м3/сутки, фактическая мощность составляет 140 м3/сутки,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количество канализационных очистных сооружений - 2 сооружений, 1 в с. Становое, 1- в ПНП;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установленная и суммарная мощность всех канализационных очистных сооружений составляет 500 м3/сутки, максимальное суточное поступление сточных вод на канализационные очистные сооружения составляет 135,9 м3/ сутки.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Техническое состояние систем водоотведения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общая протяженность канализационных сетей составляет 8,3 км, в том числе: в ОНП -2,4 км., в ПНП -5,9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протяженность ветхих канализационных сетей составляет 4,7 км. или 56,6% от общей протяженности.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период до 2030 года ожидается снижение суммарной суточной производительности КОС в связи с высокой степенью износа оборудования очистных сооружений (до 90%), что в ближайшие годы может привести к выходу из строя всей системы водоотведения.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Мощность систем теплоснабжения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источников тепла - 3, в том числе: в ОНП - 3, в ПНП - 0; из общего количества источников тепла 2 источников - с ГВС, 1 - без ГВС;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установленная тепловая мощность всех источников тепла составляет 4,178 Гкал/час, в том числе: в ОНП - 4,178 Гкал/час, в ПНП - 0,00 Гкал/час; ограничения установленной мощности отсутствуют;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располагаемая (фактическая) тепловая мощность всех источников тепла составляет 2,298 Гкал/час, в том числе: в ОНП - 2,298 Гкал/час, в ПНП - 0,00 Гкал/час;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присоединенная договорная тепловая нагрузка составляет 4,178 Гкал/час, в том числе: в ОНП - 4,178 Гкал/час, в ПНП - 0,00 Гкал/час.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Техническое состояние систем теплоснабжения характеризуется следующими показателями: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общая протяженность тепловых и паровых сетей в двухтрубном исчислении составляет 628 м; нуждающихся в замене тепловых и паровых сетей в двухтрубном исчислении - 0 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период до 2030 года расширение радиуса действия существующей сети теплоснабжения не планируется, индивидуальные, многоквартирные жилые дома и предприятия, присоединяемые к центральной системе теплоснабжения не запланированы к вводу в эксплуатацию, в связи с чем изменения теплового баланса системы теплоснабжения и протяженности тепловых сетей не прогнозируются.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 состоянию на 1 января 2024 года газифицированы 72 населенных пунктов, входящих в состав округа. Количество домохозяйств (квартиры в МКД и ИЖД), заключивших договора на газоснабжение, составляет 7520 домохозяйств, или 82% от общего количества домохозяйств (9201 домохозяйств), в том числе уровень газификации домохозяйств в ОНП составляет - 75 %.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связи со вступлением в силу государственной программы по </w:t>
      </w:r>
      <w:proofErr w:type="spellStart"/>
      <w:r w:rsidRPr="00CB09E9">
        <w:rPr>
          <w:rFonts w:ascii="Arial" w:eastAsia="Times New Roman" w:hAnsi="Arial" w:cs="Arial"/>
          <w:color w:val="000000" w:themeColor="text1"/>
          <w:sz w:val="24"/>
          <w:szCs w:val="24"/>
          <w:lang w:eastAsia="ru-RU"/>
        </w:rPr>
        <w:t>догазификации</w:t>
      </w:r>
      <w:proofErr w:type="spellEnd"/>
      <w:r w:rsidRPr="00CB09E9">
        <w:rPr>
          <w:rFonts w:ascii="Arial" w:eastAsia="Times New Roman" w:hAnsi="Arial" w:cs="Arial"/>
          <w:color w:val="000000" w:themeColor="text1"/>
          <w:sz w:val="24"/>
          <w:szCs w:val="24"/>
          <w:lang w:eastAsia="ru-RU"/>
        </w:rPr>
        <w:t xml:space="preserve"> населенных пунктов, ожидается прирост количества газифицированных домовладений в населенных пунктах, где уже имеются сети газоснабжения.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Деятельность по обращению с твердыми коммунальными отходами осуществляет ООО "ТЭКО-Сервис". В округе имеется 685 контейнеров, оборудованы контейнерные площадки. Основными барьерами входа новых хозяйствующих субъектов на рынок по сбору и транспортированию твердых коммунальных отходов являются необходимость получения лицензии на осуществление отдельных видов деятельности, осуществления значительных первоначальных капитальных вложений при длительных сроках окупаемости этих вложений (необходимость приобретения и обслуживания специализированного транспорта для осуществления деятельности, а также организация мест для хранения данного транспорта).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Управление многоквартирными домами осуществляет ООО УК "</w:t>
      </w:r>
      <w:proofErr w:type="spellStart"/>
      <w:r w:rsidRPr="00CB09E9">
        <w:rPr>
          <w:rFonts w:ascii="Arial" w:eastAsia="Times New Roman" w:hAnsi="Arial" w:cs="Arial"/>
          <w:color w:val="000000" w:themeColor="text1"/>
          <w:sz w:val="24"/>
          <w:szCs w:val="24"/>
          <w:lang w:eastAsia="ru-RU"/>
        </w:rPr>
        <w:t>Эльта</w:t>
      </w:r>
      <w:proofErr w:type="spellEnd"/>
      <w:r w:rsidRPr="00CB09E9">
        <w:rPr>
          <w:rFonts w:ascii="Arial" w:eastAsia="Times New Roman" w:hAnsi="Arial" w:cs="Arial"/>
          <w:color w:val="000000" w:themeColor="text1"/>
          <w:sz w:val="24"/>
          <w:szCs w:val="24"/>
          <w:lang w:eastAsia="ru-RU"/>
        </w:rPr>
        <w:t>+", которая обслуживает 11 МКД; ООО УК "ЕЛЕЦСТРОЙМОНТАЖ", которая обслуживает 2 МКД; 40 МКД выбрали непосредственный способ управления.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Основной проблемой в данной сфере является низкое качество услуг в сфере ЖКХ, высокая степень износа имущества. Повышение качества услуг ЖКХ, а также задача создания конкурентного и прозрачного рынка управления жильем входит в число приоритетных проектов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1.11. Транспортная инфраструктура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 состоянию на 1 января 2024 года общая протяженность дорог общего пользования по территории Становлянского округа составляет 808,29 км., в том числе: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 протяженность дорог местного значения - 472,77 км. (106,9 км. - в асфальте, 166,68 км. - в ином твердом исполнении (включая дорожную одежду переходного типа (щебень), 199,2 км. - грунтовых дорог);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протяженность дорог регионального и межмуниципального значения - 252,52 км. (214,41 км. - в асфальте, 15,62 км. - в ином твердом исполнении (включая дорожную одежду переходного типа (щебень)), 22,49 км. - грунтовых дорог);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протяженность дороги федерального значения М-4 "Дон" (альтернативное направление, платный участок) - 83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 состоянию на 1 января 2024 года из общей протяженности дорог общего пользования не соответствуют нормативным требованиям участки дорог общей протяженностью 234,6 км., или 29,17%, в том числе: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участки дорог местного значения общей протяженностью 196,5 км., или 24,43%;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участки дорог регионального и межмуниципального значения общей протяженностью 38,1 км., или 4,74 %;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участки дороги федерального значения общей протяженностью 0,0 км., или 0,0 %.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Имеющаяся дорожная сеть обеспечивает возможность автомобильного сообщения по дорогам с твердым покрытием между административным центром с. Становое и 88 населёнными пунктами.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территории Становлянского округа действуют 10 маршрутов общественного транспорта, которые соединяют между собой 94 населенных пункта, 45 из которых расположены непосредственно на маршрутах, и 57 - расположены в 2,5-километрвой зоне от автобусных остановок на соответствующих маршрутах общественного транспорта. Общая численность населения округа, охваченная автомобильным сообщением по маршрутам общественного транспорта, составляет 16335 человек, или 99,4 %. Доля населения, проживающего в населенных пунктах, не имеющих регулярного автобусного сообщения с административным центром муниципального округа, в общей численности населения составила 0,59 %.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2. Стартовые условия для разработки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2.1. Анализ реализации ранее поставленных целей социально-экономического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момент разработки настоящей Стратегии действующие цели социально-экономического развития Становлянского округа зафиксированы в </w:t>
      </w:r>
      <w:hyperlink r:id="rId19" w:history="1">
        <w:r w:rsidRPr="00CB09E9">
          <w:rPr>
            <w:rFonts w:ascii="Arial" w:eastAsia="Times New Roman" w:hAnsi="Arial" w:cs="Arial"/>
            <w:color w:val="000000" w:themeColor="text1"/>
            <w:sz w:val="24"/>
            <w:szCs w:val="24"/>
            <w:lang w:eastAsia="ru-RU"/>
          </w:rPr>
          <w:t>Стратегии до 2026 года</w:t>
        </w:r>
      </w:hyperlink>
      <w:r w:rsidRPr="00CB09E9">
        <w:rPr>
          <w:rFonts w:ascii="Arial" w:eastAsia="Times New Roman" w:hAnsi="Arial" w:cs="Arial"/>
          <w:color w:val="000000" w:themeColor="text1"/>
          <w:sz w:val="24"/>
          <w:szCs w:val="24"/>
          <w:lang w:eastAsia="ru-RU"/>
        </w:rPr>
        <w:t>, утвержденной решением Становлянского районного Совета депутатов </w:t>
      </w:r>
      <w:hyperlink r:id="rId20" w:history="1">
        <w:r w:rsidRPr="00CB09E9">
          <w:rPr>
            <w:rFonts w:ascii="Arial" w:eastAsia="Times New Roman" w:hAnsi="Arial" w:cs="Arial"/>
            <w:color w:val="000000" w:themeColor="text1"/>
            <w:sz w:val="24"/>
            <w:szCs w:val="24"/>
            <w:lang w:eastAsia="ru-RU"/>
          </w:rPr>
          <w:t>от 25 декабря 2007 года № 260</w:t>
        </w:r>
      </w:hyperlink>
      <w:r w:rsidRPr="00CB09E9">
        <w:rPr>
          <w:rFonts w:ascii="Arial" w:eastAsia="Times New Roman" w:hAnsi="Arial" w:cs="Arial"/>
          <w:color w:val="000000" w:themeColor="text1"/>
          <w:sz w:val="24"/>
          <w:szCs w:val="24"/>
          <w:lang w:eastAsia="ru-RU"/>
        </w:rPr>
        <w:t> "О Стратегии социально-экономического развития Становлянского муниципального района на период до 2026 года" (с изменениями: </w:t>
      </w:r>
      <w:hyperlink r:id="rId21" w:history="1">
        <w:r w:rsidRPr="00CB09E9">
          <w:rPr>
            <w:rFonts w:ascii="Arial" w:eastAsia="Times New Roman" w:hAnsi="Arial" w:cs="Arial"/>
            <w:color w:val="000000" w:themeColor="text1"/>
            <w:sz w:val="24"/>
            <w:szCs w:val="24"/>
            <w:lang w:eastAsia="ru-RU"/>
          </w:rPr>
          <w:t>от 11 июня 2010 года № 142</w:t>
        </w:r>
      </w:hyperlink>
      <w:r w:rsidRPr="00CB09E9">
        <w:rPr>
          <w:rFonts w:ascii="Arial" w:eastAsia="Times New Roman" w:hAnsi="Arial" w:cs="Arial"/>
          <w:color w:val="000000" w:themeColor="text1"/>
          <w:sz w:val="24"/>
          <w:szCs w:val="24"/>
          <w:lang w:eastAsia="ru-RU"/>
        </w:rPr>
        <w:t>, </w:t>
      </w:r>
      <w:hyperlink r:id="rId22" w:history="1">
        <w:r w:rsidRPr="00CB09E9">
          <w:rPr>
            <w:rFonts w:ascii="Arial" w:eastAsia="Times New Roman" w:hAnsi="Arial" w:cs="Arial"/>
            <w:color w:val="000000" w:themeColor="text1"/>
            <w:sz w:val="24"/>
            <w:szCs w:val="24"/>
            <w:lang w:eastAsia="ru-RU"/>
          </w:rPr>
          <w:t>от 12 апреля 2011 года № 187</w:t>
        </w:r>
      </w:hyperlink>
      <w:r w:rsidRPr="00CB09E9">
        <w:rPr>
          <w:rFonts w:ascii="Arial" w:eastAsia="Times New Roman" w:hAnsi="Arial" w:cs="Arial"/>
          <w:color w:val="000000" w:themeColor="text1"/>
          <w:sz w:val="24"/>
          <w:szCs w:val="24"/>
          <w:lang w:eastAsia="ru-RU"/>
        </w:rPr>
        <w:t>, </w:t>
      </w:r>
      <w:hyperlink r:id="rId23" w:history="1">
        <w:r w:rsidRPr="00CB09E9">
          <w:rPr>
            <w:rFonts w:ascii="Arial" w:eastAsia="Times New Roman" w:hAnsi="Arial" w:cs="Arial"/>
            <w:color w:val="000000" w:themeColor="text1"/>
            <w:sz w:val="24"/>
            <w:szCs w:val="24"/>
            <w:lang w:eastAsia="ru-RU"/>
          </w:rPr>
          <w:t>от 22 апреля 2016 года № 63</w:t>
        </w:r>
      </w:hyperlink>
      <w:r w:rsidRPr="00CB09E9">
        <w:rPr>
          <w:rFonts w:ascii="Arial" w:eastAsia="Times New Roman" w:hAnsi="Arial" w:cs="Arial"/>
          <w:color w:val="000000" w:themeColor="text1"/>
          <w:sz w:val="24"/>
          <w:szCs w:val="24"/>
          <w:lang w:eastAsia="ru-RU"/>
        </w:rPr>
        <w:t>, </w:t>
      </w:r>
      <w:hyperlink r:id="rId24" w:history="1">
        <w:r w:rsidRPr="00CB09E9">
          <w:rPr>
            <w:rFonts w:ascii="Arial" w:eastAsia="Times New Roman" w:hAnsi="Arial" w:cs="Arial"/>
            <w:color w:val="000000" w:themeColor="text1"/>
            <w:sz w:val="24"/>
            <w:szCs w:val="24"/>
            <w:lang w:eastAsia="ru-RU"/>
          </w:rPr>
          <w:t>от 21 декабря 2017 года № 185</w:t>
        </w:r>
      </w:hyperlink>
      <w:r w:rsidRPr="00CB09E9">
        <w:rPr>
          <w:rFonts w:ascii="Arial" w:eastAsia="Times New Roman" w:hAnsi="Arial" w:cs="Arial"/>
          <w:color w:val="000000" w:themeColor="text1"/>
          <w:sz w:val="24"/>
          <w:szCs w:val="24"/>
          <w:lang w:eastAsia="ru-RU"/>
        </w:rPr>
        <w:t>, </w:t>
      </w:r>
      <w:hyperlink r:id="rId25" w:history="1">
        <w:r w:rsidRPr="00CB09E9">
          <w:rPr>
            <w:rFonts w:ascii="Arial" w:eastAsia="Times New Roman" w:hAnsi="Arial" w:cs="Arial"/>
            <w:color w:val="000000" w:themeColor="text1"/>
            <w:sz w:val="24"/>
            <w:szCs w:val="24"/>
            <w:lang w:eastAsia="ru-RU"/>
          </w:rPr>
          <w:t>от 20 апреля 2018 года № 202</w:t>
        </w:r>
      </w:hyperlink>
      <w:r w:rsidRPr="00CB09E9">
        <w:rPr>
          <w:rFonts w:ascii="Arial" w:eastAsia="Times New Roman" w:hAnsi="Arial" w:cs="Arial"/>
          <w:color w:val="000000" w:themeColor="text1"/>
          <w:sz w:val="24"/>
          <w:szCs w:val="24"/>
          <w:lang w:eastAsia="ru-RU"/>
        </w:rPr>
        <w:t>, </w:t>
      </w:r>
      <w:hyperlink r:id="rId26" w:history="1">
        <w:r w:rsidRPr="00CB09E9">
          <w:rPr>
            <w:rFonts w:ascii="Arial" w:eastAsia="Times New Roman" w:hAnsi="Arial" w:cs="Arial"/>
            <w:color w:val="000000" w:themeColor="text1"/>
            <w:sz w:val="24"/>
            <w:szCs w:val="24"/>
            <w:lang w:eastAsia="ru-RU"/>
          </w:rPr>
          <w:t>от 7 сентября 2018 года № 221</w:t>
        </w:r>
      </w:hyperlink>
      <w:r w:rsidRPr="00CB09E9">
        <w:rPr>
          <w:rFonts w:ascii="Arial" w:eastAsia="Times New Roman" w:hAnsi="Arial" w:cs="Arial"/>
          <w:color w:val="000000" w:themeColor="text1"/>
          <w:sz w:val="24"/>
          <w:szCs w:val="24"/>
          <w:lang w:eastAsia="ru-RU"/>
        </w:rPr>
        <w:t>, </w:t>
      </w:r>
      <w:hyperlink r:id="rId27" w:history="1">
        <w:r w:rsidRPr="00CB09E9">
          <w:rPr>
            <w:rFonts w:ascii="Arial" w:eastAsia="Times New Roman" w:hAnsi="Arial" w:cs="Arial"/>
            <w:color w:val="000000" w:themeColor="text1"/>
            <w:sz w:val="24"/>
            <w:szCs w:val="24"/>
            <w:lang w:eastAsia="ru-RU"/>
          </w:rPr>
          <w:t>от 29 августа 2022 года № 124</w:t>
        </w:r>
      </w:hyperlink>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Стратегии учтено решение задач, поставленных Президентом Российской Федерации в ежегодном Послании Федеральному Собранию Российской Федерации, выполнение поручений, содержащихся в Указах Президента Российской Федерации </w:t>
      </w:r>
      <w:hyperlink r:id="rId28" w:history="1">
        <w:r w:rsidRPr="00CB09E9">
          <w:rPr>
            <w:rFonts w:ascii="Arial" w:eastAsia="Times New Roman" w:hAnsi="Arial" w:cs="Arial"/>
            <w:color w:val="000000" w:themeColor="text1"/>
            <w:sz w:val="24"/>
            <w:szCs w:val="24"/>
            <w:lang w:eastAsia="ru-RU"/>
          </w:rPr>
          <w:t>от 7 мая 2012 года № 596</w:t>
        </w:r>
      </w:hyperlink>
      <w:r w:rsidRPr="00CB09E9">
        <w:rPr>
          <w:rFonts w:ascii="Arial" w:eastAsia="Times New Roman" w:hAnsi="Arial" w:cs="Arial"/>
          <w:color w:val="000000" w:themeColor="text1"/>
          <w:sz w:val="24"/>
          <w:szCs w:val="24"/>
          <w:lang w:eastAsia="ru-RU"/>
        </w:rPr>
        <w:t> "О долгосрочной государственной экономической политике", </w:t>
      </w:r>
      <w:hyperlink r:id="rId29" w:history="1">
        <w:r w:rsidRPr="00CB09E9">
          <w:rPr>
            <w:rFonts w:ascii="Arial" w:eastAsia="Times New Roman" w:hAnsi="Arial" w:cs="Arial"/>
            <w:color w:val="000000" w:themeColor="text1"/>
            <w:sz w:val="24"/>
            <w:szCs w:val="24"/>
            <w:lang w:eastAsia="ru-RU"/>
          </w:rPr>
          <w:t>от 7 мая 2012 года № 597</w:t>
        </w:r>
      </w:hyperlink>
      <w:r w:rsidRPr="00CB09E9">
        <w:rPr>
          <w:rFonts w:ascii="Arial" w:eastAsia="Times New Roman" w:hAnsi="Arial" w:cs="Arial"/>
          <w:color w:val="000000" w:themeColor="text1"/>
          <w:sz w:val="24"/>
          <w:szCs w:val="24"/>
          <w:lang w:eastAsia="ru-RU"/>
        </w:rPr>
        <w:t> "О мероприятиях по реализации государственной социальной политики", </w:t>
      </w:r>
      <w:hyperlink r:id="rId30" w:history="1">
        <w:r w:rsidRPr="00CB09E9">
          <w:rPr>
            <w:rFonts w:ascii="Arial" w:eastAsia="Times New Roman" w:hAnsi="Arial" w:cs="Arial"/>
            <w:color w:val="000000" w:themeColor="text1"/>
            <w:sz w:val="24"/>
            <w:szCs w:val="24"/>
            <w:lang w:eastAsia="ru-RU"/>
          </w:rPr>
          <w:t>от 7 мая 2012 года № 598</w:t>
        </w:r>
      </w:hyperlink>
      <w:r w:rsidRPr="00CB09E9">
        <w:rPr>
          <w:rFonts w:ascii="Arial" w:eastAsia="Times New Roman" w:hAnsi="Arial" w:cs="Arial"/>
          <w:color w:val="000000" w:themeColor="text1"/>
          <w:sz w:val="24"/>
          <w:szCs w:val="24"/>
          <w:lang w:eastAsia="ru-RU"/>
        </w:rPr>
        <w:t> "О совершенствовании государственной политики в сфере здравоохранения", </w:t>
      </w:r>
      <w:hyperlink r:id="rId31" w:history="1">
        <w:r w:rsidRPr="00CB09E9">
          <w:rPr>
            <w:rFonts w:ascii="Arial" w:eastAsia="Times New Roman" w:hAnsi="Arial" w:cs="Arial"/>
            <w:color w:val="000000" w:themeColor="text1"/>
            <w:sz w:val="24"/>
            <w:szCs w:val="24"/>
            <w:lang w:eastAsia="ru-RU"/>
          </w:rPr>
          <w:t>от 7 мая 2012 года № 599</w:t>
        </w:r>
      </w:hyperlink>
      <w:r w:rsidRPr="00CB09E9">
        <w:rPr>
          <w:rFonts w:ascii="Arial" w:eastAsia="Times New Roman" w:hAnsi="Arial" w:cs="Arial"/>
          <w:color w:val="000000" w:themeColor="text1"/>
          <w:sz w:val="24"/>
          <w:szCs w:val="24"/>
          <w:lang w:eastAsia="ru-RU"/>
        </w:rPr>
        <w:t xml:space="preserve"> "О мерах по реализации государственной политики в области </w:t>
      </w:r>
      <w:r w:rsidRPr="00CB09E9">
        <w:rPr>
          <w:rFonts w:ascii="Arial" w:eastAsia="Times New Roman" w:hAnsi="Arial" w:cs="Arial"/>
          <w:color w:val="000000" w:themeColor="text1"/>
          <w:sz w:val="24"/>
          <w:szCs w:val="24"/>
          <w:lang w:eastAsia="ru-RU"/>
        </w:rPr>
        <w:lastRenderedPageBreak/>
        <w:t>образования и науки",  </w:t>
      </w:r>
      <w:hyperlink r:id="rId32" w:history="1">
        <w:r w:rsidRPr="00CB09E9">
          <w:rPr>
            <w:rFonts w:ascii="Arial" w:eastAsia="Times New Roman" w:hAnsi="Arial" w:cs="Arial"/>
            <w:color w:val="000000" w:themeColor="text1"/>
            <w:sz w:val="24"/>
            <w:szCs w:val="24"/>
            <w:lang w:eastAsia="ru-RU"/>
          </w:rPr>
          <w:t>от 7 мая 2012 года № 600</w:t>
        </w:r>
      </w:hyperlink>
      <w:r w:rsidRPr="00CB09E9">
        <w:rPr>
          <w:rFonts w:ascii="Arial" w:eastAsia="Times New Roman" w:hAnsi="Arial" w:cs="Arial"/>
          <w:color w:val="000000" w:themeColor="text1"/>
          <w:sz w:val="24"/>
          <w:szCs w:val="24"/>
          <w:lang w:eastAsia="ru-RU"/>
        </w:rPr>
        <w:t> "О мерах по обеспечению граждан Российской Федерации доступным и комфортным жильем и повышению качества жилищно-коммунальных услуг", </w:t>
      </w:r>
      <w:hyperlink r:id="rId33" w:history="1">
        <w:r w:rsidRPr="00CB09E9">
          <w:rPr>
            <w:rFonts w:ascii="Arial" w:eastAsia="Times New Roman" w:hAnsi="Arial" w:cs="Arial"/>
            <w:color w:val="000000" w:themeColor="text1"/>
            <w:sz w:val="24"/>
            <w:szCs w:val="24"/>
            <w:lang w:eastAsia="ru-RU"/>
          </w:rPr>
          <w:t>от 7 мая 2012 года № 601</w:t>
        </w:r>
      </w:hyperlink>
      <w:r w:rsidRPr="00CB09E9">
        <w:rPr>
          <w:rFonts w:ascii="Arial" w:eastAsia="Times New Roman" w:hAnsi="Arial" w:cs="Arial"/>
          <w:color w:val="000000" w:themeColor="text1"/>
          <w:sz w:val="24"/>
          <w:szCs w:val="24"/>
          <w:lang w:eastAsia="ru-RU"/>
        </w:rPr>
        <w:t> "Об основных направлениях совершенствования системы государственного управления", </w:t>
      </w:r>
      <w:hyperlink r:id="rId34" w:history="1">
        <w:r w:rsidRPr="00CB09E9">
          <w:rPr>
            <w:rFonts w:ascii="Arial" w:eastAsia="Times New Roman" w:hAnsi="Arial" w:cs="Arial"/>
            <w:color w:val="000000" w:themeColor="text1"/>
            <w:sz w:val="24"/>
            <w:szCs w:val="24"/>
            <w:lang w:eastAsia="ru-RU"/>
          </w:rPr>
          <w:t>от 7 мая 2012 года № 602</w:t>
        </w:r>
      </w:hyperlink>
      <w:r w:rsidRPr="00CB09E9">
        <w:rPr>
          <w:rFonts w:ascii="Arial" w:eastAsia="Times New Roman" w:hAnsi="Arial" w:cs="Arial"/>
          <w:color w:val="000000" w:themeColor="text1"/>
          <w:sz w:val="24"/>
          <w:szCs w:val="24"/>
          <w:lang w:eastAsia="ru-RU"/>
        </w:rPr>
        <w:t> "Об обеспечении межнационального согласия", </w:t>
      </w:r>
      <w:hyperlink r:id="rId35" w:history="1">
        <w:r w:rsidRPr="00CB09E9">
          <w:rPr>
            <w:rFonts w:ascii="Arial" w:eastAsia="Times New Roman" w:hAnsi="Arial" w:cs="Arial"/>
            <w:color w:val="000000" w:themeColor="text1"/>
            <w:sz w:val="24"/>
            <w:szCs w:val="24"/>
            <w:lang w:eastAsia="ru-RU"/>
          </w:rPr>
          <w:t>от 7 мая 2012 года № 603</w:t>
        </w:r>
      </w:hyperlink>
      <w:r w:rsidRPr="00CB09E9">
        <w:rPr>
          <w:rFonts w:ascii="Arial" w:eastAsia="Times New Roman" w:hAnsi="Arial" w:cs="Arial"/>
          <w:color w:val="000000" w:themeColor="text1"/>
          <w:sz w:val="24"/>
          <w:szCs w:val="24"/>
          <w:lang w:eastAsia="ru-RU"/>
        </w:rPr>
        <w:t> "О реализации планов (программ) строительства и развития Вооруженных Сил Российской Федерации, других войск, воинских формирований и органов и модернизации оборонно-промышленного комплекса", </w:t>
      </w:r>
      <w:hyperlink r:id="rId36" w:history="1">
        <w:r w:rsidRPr="00CB09E9">
          <w:rPr>
            <w:rFonts w:ascii="Arial" w:eastAsia="Times New Roman" w:hAnsi="Arial" w:cs="Arial"/>
            <w:color w:val="000000" w:themeColor="text1"/>
            <w:sz w:val="24"/>
            <w:szCs w:val="24"/>
            <w:lang w:eastAsia="ru-RU"/>
          </w:rPr>
          <w:t>от 7 мая 2012 года № 604</w:t>
        </w:r>
      </w:hyperlink>
      <w:r w:rsidRPr="00CB09E9">
        <w:rPr>
          <w:rFonts w:ascii="Arial" w:eastAsia="Times New Roman" w:hAnsi="Arial" w:cs="Arial"/>
          <w:color w:val="000000" w:themeColor="text1"/>
          <w:sz w:val="24"/>
          <w:szCs w:val="24"/>
          <w:lang w:eastAsia="ru-RU"/>
        </w:rPr>
        <w:t> "О дальнейшем совершенствовании военной службы в Российской Федерации", </w:t>
      </w:r>
      <w:hyperlink r:id="rId37" w:history="1">
        <w:r w:rsidRPr="00CB09E9">
          <w:rPr>
            <w:rFonts w:ascii="Arial" w:eastAsia="Times New Roman" w:hAnsi="Arial" w:cs="Arial"/>
            <w:color w:val="000000" w:themeColor="text1"/>
            <w:sz w:val="24"/>
            <w:szCs w:val="24"/>
            <w:lang w:eastAsia="ru-RU"/>
          </w:rPr>
          <w:t>от 7 мая 2012 года № 605</w:t>
        </w:r>
      </w:hyperlink>
      <w:r w:rsidRPr="00CB09E9">
        <w:rPr>
          <w:rFonts w:ascii="Arial" w:eastAsia="Times New Roman" w:hAnsi="Arial" w:cs="Arial"/>
          <w:color w:val="000000" w:themeColor="text1"/>
          <w:sz w:val="24"/>
          <w:szCs w:val="24"/>
          <w:lang w:eastAsia="ru-RU"/>
        </w:rPr>
        <w:t> "О мерах по реализации внешнеполитического курса Российской Федерации", </w:t>
      </w:r>
      <w:hyperlink r:id="rId38" w:history="1">
        <w:r w:rsidRPr="00CB09E9">
          <w:rPr>
            <w:rFonts w:ascii="Arial" w:eastAsia="Times New Roman" w:hAnsi="Arial" w:cs="Arial"/>
            <w:color w:val="000000" w:themeColor="text1"/>
            <w:sz w:val="24"/>
            <w:szCs w:val="24"/>
            <w:lang w:eastAsia="ru-RU"/>
          </w:rPr>
          <w:t>от 7 мая 2012 года № 606</w:t>
        </w:r>
      </w:hyperlink>
      <w:r w:rsidRPr="00CB09E9">
        <w:rPr>
          <w:rFonts w:ascii="Arial" w:eastAsia="Times New Roman" w:hAnsi="Arial" w:cs="Arial"/>
          <w:color w:val="000000" w:themeColor="text1"/>
          <w:sz w:val="24"/>
          <w:szCs w:val="24"/>
          <w:lang w:eastAsia="ru-RU"/>
        </w:rPr>
        <w:t> "О мерах по реализации демографической политики Российской Федерации", </w:t>
      </w:r>
      <w:hyperlink r:id="rId39" w:history="1">
        <w:r w:rsidRPr="00CB09E9">
          <w:rPr>
            <w:rFonts w:ascii="Arial" w:eastAsia="Times New Roman" w:hAnsi="Arial" w:cs="Arial"/>
            <w:color w:val="000000" w:themeColor="text1"/>
            <w:sz w:val="24"/>
            <w:szCs w:val="24"/>
            <w:lang w:eastAsia="ru-RU"/>
          </w:rPr>
          <w:t>от 7 мая 2018 года № 204</w:t>
        </w:r>
      </w:hyperlink>
      <w:r w:rsidRPr="00CB09E9">
        <w:rPr>
          <w:rFonts w:ascii="Arial" w:eastAsia="Times New Roman" w:hAnsi="Arial" w:cs="Arial"/>
          <w:color w:val="000000" w:themeColor="text1"/>
          <w:sz w:val="24"/>
          <w:szCs w:val="24"/>
          <w:lang w:eastAsia="ru-RU"/>
        </w:rPr>
        <w:t> "О национальных целях и стратегических задачах развития Российской Федерации на период до 2024 года", реализация приоритетных проектов (программ), региональных проектов (программ).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Действующая </w:t>
      </w:r>
      <w:hyperlink r:id="rId40" w:history="1">
        <w:r w:rsidRPr="00CB09E9">
          <w:rPr>
            <w:rFonts w:ascii="Arial" w:eastAsia="Times New Roman" w:hAnsi="Arial" w:cs="Arial"/>
            <w:color w:val="000000" w:themeColor="text1"/>
            <w:sz w:val="24"/>
            <w:szCs w:val="24"/>
            <w:lang w:eastAsia="ru-RU"/>
          </w:rPr>
          <w:t>Стратегия до 2026 года</w:t>
        </w:r>
      </w:hyperlink>
      <w:r w:rsidRPr="00CB09E9">
        <w:rPr>
          <w:rFonts w:ascii="Arial" w:eastAsia="Times New Roman" w:hAnsi="Arial" w:cs="Arial"/>
          <w:color w:val="000000" w:themeColor="text1"/>
          <w:sz w:val="24"/>
          <w:szCs w:val="24"/>
          <w:lang w:eastAsia="ru-RU"/>
        </w:rPr>
        <w:t> подразумевает достижение 4 стратегических целей: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стратегическая цель 1 - создание условий для повышения качества жизни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Данная цель включает в себя обеспечение благоприятных условий для развития способностей каждого человека, улучшение жизни людей и качества социальной среды. Повышение уровня доходов является одним из основных критериев качества жизни населения, поэтому основные усилия были направлены на обеспечение занятости населения, снижение доли населения с доходами ниже величины прожиточного минимума, создание условий для роста среднемесячной заработной платы.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стратегическая цель 2 - улучшение демографической ситуации;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Современные социально-экономические условия создают благоприятную основу для проведения активной демографической политики. Среди основных направлений демографической политики приоритетным являлось повышение рождаемости, оптимизация миграционных процессов, создания благоприятной социальной среды, обеспечивающей всестороннее развитие личности на основе образования, культуры, здорового образа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стратегическая цель 3 - создание сбалансированной и конкурентоспособной экономики;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Решению задачи направленной на повышение уровня конкурентоспособности предприятий и организаций будет способствовать ускорение социально-экономического развития за счет рационального использования имеющегося потенциала, развития действующих предприятий и создания особой экономической зоны регионального уровня агропромышленного типа в целях привлечения инвесторов на территорию муниципального образования и внедрения наиболее прогрессивных технологий и производств.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Стратегическое развитие планировалось в соответствии с проектом схемы территориального развития и связано, прежде всего, с использованием потенциала их развития, привлечением инвестиций, развитием малого бизнеса.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стратегическая цель 4 - улучшение качества муниципального управления, повышение его эффективности.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Данная цель предполагала внедрение на данном уровне административной реформы новых механизмов административного регулирования и управления, взаимоотношений с органами местного самоуправления, развития механизмов партнерства.</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2.1.1.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Анализ достижения показателей результативности реализации действующей Стратегии до 2026 года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509"/>
        <w:gridCol w:w="1621"/>
        <w:gridCol w:w="1063"/>
        <w:gridCol w:w="1050"/>
        <w:gridCol w:w="1096"/>
      </w:tblGrid>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показателя</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Единица изменения</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План 2020 год</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Факт 2020 год</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Факт 2023 год</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Объем промышленного производства</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млн. руб.</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113,1</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91,4</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56,9</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Объем производства продукции сельского хозяйства</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млн. руб.</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1500</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1500</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1639</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Оборот розничной торговли</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млн. руб.</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3247</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3655</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5632,9</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Объем бытовых услуг на душу населения</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руб.</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4900</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5562</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9132,8</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Ввод нового жилья</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тыс. кв. м</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8,25</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2,97</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Продолжительность жизни</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лет</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Уровень зарегистрированной безработицы</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0,78</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0,76</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0,47</w:t>
            </w:r>
          </w:p>
        </w:tc>
      </w:tr>
      <w:tr w:rsidR="008C7515" w:rsidRPr="008C7515" w:rsidTr="008C7515">
        <w:tc>
          <w:tcPr>
            <w:tcW w:w="24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Среднемесячная заработная плата работающих (по крупным и средним предприятиям)</w:t>
            </w:r>
          </w:p>
        </w:tc>
        <w:tc>
          <w:tcPr>
            <w:tcW w:w="86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руб.</w:t>
            </w:r>
          </w:p>
        </w:tc>
        <w:tc>
          <w:tcPr>
            <w:tcW w:w="56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32359</w:t>
            </w:r>
          </w:p>
        </w:tc>
        <w:tc>
          <w:tcPr>
            <w:tcW w:w="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36981</w:t>
            </w:r>
          </w:p>
        </w:tc>
        <w:tc>
          <w:tcPr>
            <w:tcW w:w="58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49907</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Плановый уровень ряда целевых показателей (37,8 % от общего числа) не достигнут в 2023 году - это показатели, характеризующие сферу демографии, промышленности, строительства.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 период 2020 - 2023 года реализации </w:t>
      </w:r>
      <w:hyperlink r:id="rId41" w:history="1">
        <w:r w:rsidRPr="00CB09E9">
          <w:rPr>
            <w:rFonts w:ascii="Arial" w:eastAsia="Times New Roman" w:hAnsi="Arial" w:cs="Arial"/>
            <w:color w:val="000000" w:themeColor="text1"/>
            <w:sz w:val="24"/>
            <w:szCs w:val="24"/>
            <w:lang w:eastAsia="ru-RU"/>
          </w:rPr>
          <w:t>Стратегии до 2026 года</w:t>
        </w:r>
      </w:hyperlink>
      <w:r w:rsidRPr="00CB09E9">
        <w:rPr>
          <w:rFonts w:ascii="Arial" w:eastAsia="Times New Roman" w:hAnsi="Arial" w:cs="Arial"/>
          <w:color w:val="000000" w:themeColor="text1"/>
          <w:sz w:val="24"/>
          <w:szCs w:val="24"/>
          <w:lang w:eastAsia="ru-RU"/>
        </w:rPr>
        <w:t> оборот розничной торговли увеличился в 1,7 раза, среднемесячная заработная плата увеличилась в 1,5 раза, уровень зарегистрированной безработицы снизился на 60%. Однако объём промышленного производства сократился за период 2018 - 2023 на 50 %.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Часть проектов отраженных в Стратегии перестали быть актуальными в силу следующих обстоятельств: уже реализованы, не актуальны по объективным причинам, требуют корректировки сроков реализации. Также необходима корректировка (актуализация) источников финансового обеспечения, реализуемых в рамках Стратегии мероприятий.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За период 2018 - 2024 года на федеральном и региональном уровне принят целый ряд важнейших решений, в первую очередь, о реализации национальных проектов и достижении национальных целей. Кроме того последствия негативного влияния на экономику событий 2020-2023 гг., связанных с распространением </w:t>
      </w:r>
      <w:proofErr w:type="spellStart"/>
      <w:r w:rsidRPr="00CB09E9">
        <w:rPr>
          <w:rFonts w:ascii="Arial" w:eastAsia="Times New Roman" w:hAnsi="Arial" w:cs="Arial"/>
          <w:color w:val="000000" w:themeColor="text1"/>
          <w:sz w:val="24"/>
          <w:szCs w:val="24"/>
          <w:lang w:eastAsia="ru-RU"/>
        </w:rPr>
        <w:t>коронавирусной</w:t>
      </w:r>
      <w:proofErr w:type="spellEnd"/>
      <w:r w:rsidRPr="00CB09E9">
        <w:rPr>
          <w:rFonts w:ascii="Arial" w:eastAsia="Times New Roman" w:hAnsi="Arial" w:cs="Arial"/>
          <w:color w:val="000000" w:themeColor="text1"/>
          <w:sz w:val="24"/>
          <w:szCs w:val="24"/>
          <w:lang w:eastAsia="ru-RU"/>
        </w:rPr>
        <w:t xml:space="preserve"> инфекции, </w:t>
      </w:r>
      <w:proofErr w:type="spellStart"/>
      <w:r w:rsidRPr="00CB09E9">
        <w:rPr>
          <w:rFonts w:ascii="Arial" w:eastAsia="Times New Roman" w:hAnsi="Arial" w:cs="Arial"/>
          <w:color w:val="000000" w:themeColor="text1"/>
          <w:sz w:val="24"/>
          <w:szCs w:val="24"/>
          <w:lang w:eastAsia="ru-RU"/>
        </w:rPr>
        <w:t>санкционных</w:t>
      </w:r>
      <w:proofErr w:type="spellEnd"/>
      <w:r w:rsidRPr="00CB09E9">
        <w:rPr>
          <w:rFonts w:ascii="Arial" w:eastAsia="Times New Roman" w:hAnsi="Arial" w:cs="Arial"/>
          <w:color w:val="000000" w:themeColor="text1"/>
          <w:sz w:val="24"/>
          <w:szCs w:val="24"/>
          <w:lang w:eastAsia="ru-RU"/>
        </w:rPr>
        <w:t xml:space="preserve"> ограничений, ведением специальной военной операции также повлияли на социально-экономическое развитие муниципалитета.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силу изложенных выше обстоятельств, требуется корректировка Стратегии муниципального образования, в том числе в части оптимизации дерева стратегических целей и задач, корректировки целевых показателей реализации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2.2. Основные факторы, влияющие на экономический рост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Современные мировые тенденции развития формируют глобальные вызовы и условия, в которых Становлянский округ определяет свои приоритеты, стратегические цели и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Функционирование экономики Становлянского округа в долгосрочной перспективе будет определяться внешними и внутренними условиями и факторами.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Комплексный </w:t>
      </w:r>
      <w:r w:rsidRPr="00CB09E9">
        <w:rPr>
          <w:rFonts w:ascii="Arial" w:eastAsia="Times New Roman" w:hAnsi="Arial" w:cs="Arial"/>
          <w:color w:val="000000" w:themeColor="text1"/>
          <w:sz w:val="24"/>
          <w:szCs w:val="24"/>
          <w:lang w:val="en-US" w:eastAsia="ru-RU"/>
        </w:rPr>
        <w:t>PEST</w:t>
      </w:r>
      <w:r w:rsidRPr="00CB09E9">
        <w:rPr>
          <w:rFonts w:ascii="Arial" w:eastAsia="Times New Roman" w:hAnsi="Arial" w:cs="Arial"/>
          <w:color w:val="000000" w:themeColor="text1"/>
          <w:sz w:val="24"/>
          <w:szCs w:val="24"/>
          <w:lang w:eastAsia="ru-RU"/>
        </w:rPr>
        <w:t>- анализ позволил выявить политические (</w:t>
      </w:r>
      <w:r w:rsidRPr="00CB09E9">
        <w:rPr>
          <w:rFonts w:ascii="Arial" w:eastAsia="Times New Roman" w:hAnsi="Arial" w:cs="Arial"/>
          <w:color w:val="000000" w:themeColor="text1"/>
          <w:sz w:val="24"/>
          <w:szCs w:val="24"/>
          <w:lang w:val="en-US" w:eastAsia="ru-RU"/>
        </w:rPr>
        <w:t>policy</w:t>
      </w:r>
      <w:r w:rsidRPr="00CB09E9">
        <w:rPr>
          <w:rFonts w:ascii="Arial" w:eastAsia="Times New Roman" w:hAnsi="Arial" w:cs="Arial"/>
          <w:color w:val="000000" w:themeColor="text1"/>
          <w:sz w:val="24"/>
          <w:szCs w:val="24"/>
          <w:lang w:eastAsia="ru-RU"/>
        </w:rPr>
        <w:t>), экономические (</w:t>
      </w:r>
      <w:r w:rsidRPr="00CB09E9">
        <w:rPr>
          <w:rFonts w:ascii="Arial" w:eastAsia="Times New Roman" w:hAnsi="Arial" w:cs="Arial"/>
          <w:color w:val="000000" w:themeColor="text1"/>
          <w:sz w:val="24"/>
          <w:szCs w:val="24"/>
          <w:lang w:val="en-US" w:eastAsia="ru-RU"/>
        </w:rPr>
        <w:t>economy</w:t>
      </w:r>
      <w:r w:rsidRPr="00CB09E9">
        <w:rPr>
          <w:rFonts w:ascii="Arial" w:eastAsia="Times New Roman" w:hAnsi="Arial" w:cs="Arial"/>
          <w:color w:val="000000" w:themeColor="text1"/>
          <w:sz w:val="24"/>
          <w:szCs w:val="24"/>
          <w:lang w:eastAsia="ru-RU"/>
        </w:rPr>
        <w:t>), социальные (</w:t>
      </w:r>
      <w:r w:rsidRPr="00CB09E9">
        <w:rPr>
          <w:rFonts w:ascii="Arial" w:eastAsia="Times New Roman" w:hAnsi="Arial" w:cs="Arial"/>
          <w:color w:val="000000" w:themeColor="text1"/>
          <w:sz w:val="24"/>
          <w:szCs w:val="24"/>
          <w:lang w:val="en-US" w:eastAsia="ru-RU"/>
        </w:rPr>
        <w:t>society</w:t>
      </w:r>
      <w:r w:rsidRPr="00CB09E9">
        <w:rPr>
          <w:rFonts w:ascii="Arial" w:eastAsia="Times New Roman" w:hAnsi="Arial" w:cs="Arial"/>
          <w:color w:val="000000" w:themeColor="text1"/>
          <w:sz w:val="24"/>
          <w:szCs w:val="24"/>
          <w:lang w:eastAsia="ru-RU"/>
        </w:rPr>
        <w:t>) и технологические(</w:t>
      </w:r>
      <w:r w:rsidRPr="00CB09E9">
        <w:rPr>
          <w:rFonts w:ascii="Arial" w:eastAsia="Times New Roman" w:hAnsi="Arial" w:cs="Arial"/>
          <w:color w:val="000000" w:themeColor="text1"/>
          <w:sz w:val="24"/>
          <w:szCs w:val="24"/>
          <w:lang w:val="en-US" w:eastAsia="ru-RU"/>
        </w:rPr>
        <w:t>technology</w:t>
      </w:r>
      <w:r w:rsidRPr="00CB09E9">
        <w:rPr>
          <w:rFonts w:ascii="Arial" w:eastAsia="Times New Roman" w:hAnsi="Arial" w:cs="Arial"/>
          <w:color w:val="000000" w:themeColor="text1"/>
          <w:sz w:val="24"/>
          <w:szCs w:val="24"/>
          <w:lang w:eastAsia="ru-RU"/>
        </w:rPr>
        <w:t>) факторы, способные оказывать влияние на стратегическое развитие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политические факторы: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напряженная геополитическая ситуация, сохранение действия экономических санкций США и Европы в отношении российской экономики, а также ответные меры со стороны Правительства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пандемия как высшая точка эпохи турбулентности: новые рынки (офлайн + онлайн), конкуренция и риски;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постепенное восстановление мировой экономики после кризиса, вызванного пандемией новой </w:t>
      </w:r>
      <w:proofErr w:type="spellStart"/>
      <w:r w:rsidRPr="00CB09E9">
        <w:rPr>
          <w:rFonts w:ascii="Arial" w:eastAsia="Times New Roman" w:hAnsi="Arial" w:cs="Arial"/>
          <w:color w:val="000000" w:themeColor="text1"/>
          <w:sz w:val="24"/>
          <w:szCs w:val="24"/>
          <w:lang w:eastAsia="ru-RU"/>
        </w:rPr>
        <w:t>коронавирусной</w:t>
      </w:r>
      <w:proofErr w:type="spellEnd"/>
      <w:r w:rsidRPr="00CB09E9">
        <w:rPr>
          <w:rFonts w:ascii="Arial" w:eastAsia="Times New Roman" w:hAnsi="Arial" w:cs="Arial"/>
          <w:color w:val="000000" w:themeColor="text1"/>
          <w:sz w:val="24"/>
          <w:szCs w:val="24"/>
          <w:lang w:eastAsia="ru-RU"/>
        </w:rPr>
        <w:t xml:space="preserve"> инфекции;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снижение мировых цен на сырую нефть, нефтепродукты и природный газ, что в условиях экспортно-сырьевой ориентации российской экономики обусловливает высокий уровень зависимости отечественной экономики от экспорта топливно-энергетических ресурсов и наполняемости региональных бюджетов вследствие динамики цен на сырьевые товары мировых рынков;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экономические факторы: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прогнозируемые сравнительно низкие темпы развития экономики Российской Федерации в период до 2030 года в сочетании с резким ростом государственных расходов, инициированных СВО (связанных как с военными расходами, так и расходами социального характера, расходами на импортозамещение), способны негативно сказаться на инвестиционных возможностях государства в долгосрочной перспективе;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повышение в краткосрочной и среднесрочной перспективе инвестиционной активности государства в рамках инфраструктурных проектов и поддержка с его стороны проектов импортозамещения;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влияние на социально-экономическое развитие Становлянского округа неблагоприятной демографической ситуации, в частности активного старения населения. Согласно статистическим данным в Становлянском округе, как и в целом по Липецкой области, наблюдается ежегодное снижение численности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сокращение и миграционный отток населения, в первую очередь наиболее активной его части - молодежи, создают дисбаланс между спросом и предложением рабочей силы на рынке труда, что тормозит развитие производства и реализацию инвестиционных и инновационных проектов. Самыми востребованными среди молодежи по-прежнему остаются образовательные организации высшего образования городов Воронежа, Москвы, Липецка, после обучения в которых, юноши и девушки зачастую не возвращаются в Становлянский округ;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высокая степень износа материально-технической базы в основных отраслях экономики и недостаточное обновление основных фондов;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ограниченный доступ сельскохозяйственных товаропроизводителей на рынок в условиях слаборазвитой логистики, кооперации в сфере производства и реализации сельскохозяйственной продукции;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социальные факторы: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а) сокращение численности жителей, вступающих в категорию трудоспособного населения, в результате низкой рождаемости в 1990-е годы и высокие темпы выбытия из трудоспособного возраста поколения. По прогнозным данным Федеральной службы государственной статистики, тенденция сокращения численности населения в трудоспособном возрасте сохранится вплоть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развитие глобальных социальных сетей и усиление их роли во всех сферах общественной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слабое вовлечение в процесс внедрения международных стандартов качества организаций сферы услуг, образования, здравоохранения, строительного комплекса, культуры;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недостаточные темпы социального развития сельских территорий, как следствие -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недостаточная востребованность историко-культурного и туристического потенциала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необходимость изменения роли человеческого капитала и превращение его в главный двигатель инноваций;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технологические факторы: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а) мировое технологическое развитие, которое будет формировать облик мира будущего (глобализация, борьба за глобальное лидерство, формирование экономики знаний и рост значимости инноваций как основы устойчивого экономического развития, развитие цифровых технологий, </w:t>
      </w:r>
      <w:proofErr w:type="spellStart"/>
      <w:r w:rsidRPr="00CB09E9">
        <w:rPr>
          <w:rFonts w:ascii="Arial" w:eastAsia="Times New Roman" w:hAnsi="Arial" w:cs="Arial"/>
          <w:color w:val="000000" w:themeColor="text1"/>
          <w:sz w:val="24"/>
          <w:szCs w:val="24"/>
          <w:lang w:eastAsia="ru-RU"/>
        </w:rPr>
        <w:t>био</w:t>
      </w:r>
      <w:proofErr w:type="spellEnd"/>
      <w:r w:rsidRPr="00CB09E9">
        <w:rPr>
          <w:rFonts w:ascii="Arial" w:eastAsia="Times New Roman" w:hAnsi="Arial" w:cs="Arial"/>
          <w:color w:val="000000" w:themeColor="text1"/>
          <w:sz w:val="24"/>
          <w:szCs w:val="24"/>
          <w:lang w:eastAsia="ru-RU"/>
        </w:rPr>
        <w:t xml:space="preserve">-, </w:t>
      </w:r>
      <w:proofErr w:type="spellStart"/>
      <w:r w:rsidRPr="00CB09E9">
        <w:rPr>
          <w:rFonts w:ascii="Arial" w:eastAsia="Times New Roman" w:hAnsi="Arial" w:cs="Arial"/>
          <w:color w:val="000000" w:themeColor="text1"/>
          <w:sz w:val="24"/>
          <w:szCs w:val="24"/>
          <w:lang w:eastAsia="ru-RU"/>
        </w:rPr>
        <w:t>нанотехнологий</w:t>
      </w:r>
      <w:proofErr w:type="spellEnd"/>
      <w:r w:rsidRPr="00CB09E9">
        <w:rPr>
          <w:rFonts w:ascii="Arial" w:eastAsia="Times New Roman" w:hAnsi="Arial" w:cs="Arial"/>
          <w:color w:val="000000" w:themeColor="text1"/>
          <w:sz w:val="24"/>
          <w:szCs w:val="24"/>
          <w:lang w:eastAsia="ru-RU"/>
        </w:rPr>
        <w:t xml:space="preserve">, конвергенция технологий, повышение значимости новых источников энергии и </w:t>
      </w:r>
      <w:proofErr w:type="spellStart"/>
      <w:r w:rsidRPr="00CB09E9">
        <w:rPr>
          <w:rFonts w:ascii="Arial" w:eastAsia="Times New Roman" w:hAnsi="Arial" w:cs="Arial"/>
          <w:color w:val="000000" w:themeColor="text1"/>
          <w:sz w:val="24"/>
          <w:szCs w:val="24"/>
          <w:lang w:eastAsia="ru-RU"/>
        </w:rPr>
        <w:t>энерго</w:t>
      </w:r>
      <w:proofErr w:type="spellEnd"/>
      <w:r w:rsidRPr="00CB09E9">
        <w:rPr>
          <w:rFonts w:ascii="Arial" w:eastAsia="Times New Roman" w:hAnsi="Arial" w:cs="Arial"/>
          <w:color w:val="000000" w:themeColor="text1"/>
          <w:sz w:val="24"/>
          <w:szCs w:val="24"/>
          <w:lang w:eastAsia="ru-RU"/>
        </w:rPr>
        <w:t xml:space="preserve">- и </w:t>
      </w:r>
      <w:proofErr w:type="spellStart"/>
      <w:r w:rsidRPr="00CB09E9">
        <w:rPr>
          <w:rFonts w:ascii="Arial" w:eastAsia="Times New Roman" w:hAnsi="Arial" w:cs="Arial"/>
          <w:color w:val="000000" w:themeColor="text1"/>
          <w:sz w:val="24"/>
          <w:szCs w:val="24"/>
          <w:lang w:eastAsia="ru-RU"/>
        </w:rPr>
        <w:t>ресурсообеспечения</w:t>
      </w:r>
      <w:proofErr w:type="spellEnd"/>
      <w:r w:rsidRPr="00CB09E9">
        <w:rPr>
          <w:rFonts w:ascii="Arial" w:eastAsia="Times New Roman" w:hAnsi="Arial" w:cs="Arial"/>
          <w:color w:val="000000" w:themeColor="text1"/>
          <w:sz w:val="24"/>
          <w:szCs w:val="24"/>
          <w:lang w:eastAsia="ru-RU"/>
        </w:rPr>
        <w:t>, изменение климата и окружающей среды);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осуществление научно-технической революции, которая должна стать основополагающим фактором экономического роста.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Комплексный анализ позволил также оценить стратегический потенциал Становлянского округа, выявить сильные и слабые конкурентные позиции.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2.3. Основные результаты SWOT-анализа социального 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основе оценки исходной социально-экономической ситуации, для обеспечения учета местной специфики, факторов, определяющих развитие Становлянского округа, определения конкурентных преимуществ и проблем, тормозящих прогрессивное движение, проведен SWOT-анализ социального экономического развития Становлянского округа, основные результаты которого представлены в таблице 2.2.1.</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2.2.1.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Основные результаты SWOT-анализа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228"/>
        <w:gridCol w:w="3474"/>
        <w:gridCol w:w="3637"/>
      </w:tblGrid>
      <w:tr w:rsidR="008C7515" w:rsidRPr="008C7515" w:rsidTr="008C7515">
        <w:tc>
          <w:tcPr>
            <w:tcW w:w="1193" w:type="pct"/>
            <w:vMerge w:val="restar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Социальная сфера</w:t>
            </w: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Сильные стороны (S)</w:t>
            </w:r>
          </w:p>
        </w:tc>
        <w:tc>
          <w:tcPr>
            <w:tcW w:w="1947" w:type="pct"/>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Слабые стороны (W)</w:t>
            </w:r>
          </w:p>
        </w:tc>
      </w:tr>
      <w:tr w:rsidR="008C7515" w:rsidRPr="008C7515" w:rsidTr="008C7515">
        <w:tc>
          <w:tcPr>
            <w:tcW w:w="1193" w:type="pct"/>
            <w:vMerge/>
            <w:tcBorders>
              <w:top w:val="single" w:sz="6" w:space="0" w:color="000000"/>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развитой системы учреждений основного и дополнительного образования;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высокое качество системы образования;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-развитая система наставничества в образовании;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развитой системы учреждений культуры;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развитой системы учреждений спорта;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спортсменов и спортивных команд, способных представлять округ;</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развитая сеть учреждений сферы здравоохранения.</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дефицит педагогических кадров и кадров в сфере культуры и спорта, здравоохранения;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старение кадров;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невысокий уровень материально-технической базы учреждений социальной сферы;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слабая инвестиционная привлекательность сферы образования;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отсутствие частной формы собственности учреждений образования и здравоохранения;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низкий уровень доступности транспортной и социальной инфраструктуры для инвалидов и маломобильных групп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отсутствие реабилитационной сети здравоохранения.</w:t>
            </w:r>
          </w:p>
        </w:tc>
      </w:tr>
      <w:tr w:rsidR="008C7515" w:rsidRPr="008C7515" w:rsidTr="008C7515">
        <w:tc>
          <w:tcPr>
            <w:tcW w:w="1193" w:type="pct"/>
            <w:vMerge/>
            <w:tcBorders>
              <w:top w:val="single" w:sz="6" w:space="0" w:color="000000"/>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Возможности</w:t>
            </w:r>
          </w:p>
        </w:tc>
        <w:tc>
          <w:tcPr>
            <w:tcW w:w="1947" w:type="pct"/>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Угрозы</w:t>
            </w:r>
          </w:p>
        </w:tc>
      </w:tr>
      <w:tr w:rsidR="008C7515" w:rsidRPr="008C7515" w:rsidTr="008C7515">
        <w:tc>
          <w:tcPr>
            <w:tcW w:w="1193" w:type="pct"/>
            <w:vMerge/>
            <w:tcBorders>
              <w:top w:val="single" w:sz="6" w:space="0" w:color="000000"/>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участие в национальных проектах и различных мероприятиях, направленных на развитие социальной инфраструктуры;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shd w:val="clear" w:color="auto" w:fill="FFFFFF"/>
                <w:lang w:eastAsia="ru-RU"/>
              </w:rPr>
              <w:t>- участие в конкурсах профессионального мастерства на различных уровнях;</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расширение сети объектов образования, спорта, культуры и создание современных условий в действующих учреждениях;</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участие в программах "Земский учитель", </w:t>
            </w:r>
            <w:r w:rsidRPr="00CB09E9">
              <w:rPr>
                <w:rFonts w:ascii="Arial" w:eastAsia="Times New Roman" w:hAnsi="Arial" w:cs="Arial"/>
                <w:color w:val="000000" w:themeColor="text1"/>
                <w:sz w:val="24"/>
                <w:szCs w:val="24"/>
                <w:shd w:val="clear" w:color="auto" w:fill="FFFFFF"/>
                <w:lang w:eastAsia="ru-RU"/>
              </w:rPr>
              <w:t>"Земский доктор", "Земский работник культуры".</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отклонение заявок на участие в национальных проектах;</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отсутствие финансирования или недостаточное финансирование;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сокращение финансирования федеральных проектов;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разрушение памятников истории и культуры, особенно уникальной усадьбы Стаховичей в с. Пальна-Михайловка;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снижение количества обучающихся;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отток кадров в другие регионы;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низкая мотивация у населения к ведению здорового образа жизни.</w:t>
            </w:r>
          </w:p>
        </w:tc>
      </w:tr>
      <w:tr w:rsidR="008C7515" w:rsidRPr="008C7515" w:rsidTr="008C7515">
        <w:tc>
          <w:tcPr>
            <w:tcW w:w="1193" w:type="pct"/>
            <w:vMerge w:val="restart"/>
            <w:tcBorders>
              <w:top w:val="nil"/>
              <w:left w:val="single" w:sz="6" w:space="0" w:color="000000"/>
              <w:bottom w:val="single" w:sz="6" w:space="0" w:color="000000"/>
              <w:right w:val="nil"/>
            </w:tcBorders>
            <w:tcMar>
              <w:top w:w="0"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Экономический потенциал</w:t>
            </w: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Сильные стороны</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Слабые стороны</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удобная транспортно-логистическая развязка, близость к Москве и другим крупным городам;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активно развивающийся малый и средний бизнес;</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развитая структура потребительского рынка;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достаточно развитая транспортная и телекоммуникационная инфраструктура;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нормативной правовой базы, обеспечивающей благоприятный режим для осуществления инвестиционной деятельности;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богатое </w:t>
            </w:r>
            <w:proofErr w:type="spellStart"/>
            <w:r w:rsidRPr="00CB09E9">
              <w:rPr>
                <w:rFonts w:ascii="Arial" w:eastAsia="Times New Roman" w:hAnsi="Arial" w:cs="Arial"/>
                <w:color w:val="000000" w:themeColor="text1"/>
                <w:sz w:val="24"/>
                <w:szCs w:val="24"/>
                <w:lang w:eastAsia="ru-RU"/>
              </w:rPr>
              <w:t>историко</w:t>
            </w:r>
            <w:proofErr w:type="spellEnd"/>
            <w:r w:rsidRPr="00CB09E9">
              <w:rPr>
                <w:rFonts w:ascii="Arial" w:eastAsia="Times New Roman" w:hAnsi="Arial" w:cs="Arial"/>
                <w:color w:val="000000" w:themeColor="text1"/>
                <w:sz w:val="24"/>
                <w:szCs w:val="24"/>
                <w:lang w:eastAsia="ru-RU"/>
              </w:rPr>
              <w:t xml:space="preserve"> - культурное наследие;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возможность для реализации различных туристских направлений (познавательный, событийный туризм и т.д.);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-проведение ряда зарекомендовавших себя мероприятий;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участие в программе "Комплексное развитие сельских территорий".</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ограниченное количество свободных земельных участков, которые могут быть предоставлены для реализации инвестиционных проектов;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недостаточная инвестиционная и инновационная активность;</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высокий уровень физического и морального износа основных фондов предприятий;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дисбаланс на рынке труда;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маятниковая миграция экономически активного населения в другие регионы;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недостаточно развитая туристская инфраструктура;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низкий уровень качества предоставляемых услуг в сфере туризма;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недостаток профессиональных кадров в сфере туризма.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Возможности</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Угрозы</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участие в национальных проектах и различных мероприятиях поддержки бизнеса;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использование новой волны импортозамещения;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развитие механизмов </w:t>
            </w:r>
            <w:proofErr w:type="spellStart"/>
            <w:r w:rsidRPr="00CB09E9">
              <w:rPr>
                <w:rFonts w:ascii="Arial" w:eastAsia="Times New Roman" w:hAnsi="Arial" w:cs="Arial"/>
                <w:color w:val="000000" w:themeColor="text1"/>
                <w:sz w:val="24"/>
                <w:szCs w:val="24"/>
                <w:lang w:eastAsia="ru-RU"/>
              </w:rPr>
              <w:t>муниципально</w:t>
            </w:r>
            <w:proofErr w:type="spellEnd"/>
            <w:r w:rsidRPr="00CB09E9">
              <w:rPr>
                <w:rFonts w:ascii="Arial" w:eastAsia="Times New Roman" w:hAnsi="Arial" w:cs="Arial"/>
                <w:color w:val="000000" w:themeColor="text1"/>
                <w:sz w:val="24"/>
                <w:szCs w:val="24"/>
                <w:lang w:eastAsia="ru-RU"/>
              </w:rPr>
              <w:t>-частного партнерства и концессии;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возможность тесного взаимодействия с региональными институтами поддержки бизнеса;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реализация инвестиционных проектов;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цифровизации;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привлечение высокопотенциального молодого населения из других субъектов Российской Федерации;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туризма;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расширение спектра турпродуктов и услуг</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международные санкции, проблемы с поставками сырья и комплектующих из-за рубежа в случае долгосрочного ограничения международной торговли;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усиливающаяся межрегиональная и </w:t>
            </w:r>
            <w:proofErr w:type="spellStart"/>
            <w:r w:rsidRPr="00CB09E9">
              <w:rPr>
                <w:rFonts w:ascii="Arial" w:eastAsia="Times New Roman" w:hAnsi="Arial" w:cs="Arial"/>
                <w:color w:val="000000" w:themeColor="text1"/>
                <w:sz w:val="24"/>
                <w:szCs w:val="24"/>
                <w:lang w:eastAsia="ru-RU"/>
              </w:rPr>
              <w:t>внутрирегиональная</w:t>
            </w:r>
            <w:proofErr w:type="spellEnd"/>
            <w:r w:rsidRPr="00CB09E9">
              <w:rPr>
                <w:rFonts w:ascii="Arial" w:eastAsia="Times New Roman" w:hAnsi="Arial" w:cs="Arial"/>
                <w:color w:val="000000" w:themeColor="text1"/>
                <w:sz w:val="24"/>
                <w:szCs w:val="24"/>
                <w:lang w:eastAsia="ru-RU"/>
              </w:rPr>
              <w:t xml:space="preserve"> конкуренция среди городов за привлечение инвестиций;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кризисные явления в российской экономике;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отток молодежи и квалифицированных кадров в регионы с более высоким уровнем жизни;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неблагоприятная демографическая ситуация, старение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сокращение турпотока из-за внутренних экономических причин;</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низкая инвестиционная активность в связи с </w:t>
            </w:r>
            <w:r w:rsidRPr="00CB09E9">
              <w:rPr>
                <w:rFonts w:ascii="Arial" w:eastAsia="Times New Roman" w:hAnsi="Arial" w:cs="Arial"/>
                <w:color w:val="000000" w:themeColor="text1"/>
                <w:sz w:val="24"/>
                <w:szCs w:val="24"/>
                <w:lang w:eastAsia="ru-RU"/>
              </w:rPr>
              <w:lastRenderedPageBreak/>
              <w:t>нестабильностью экономической ситуации;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высокая конкуренция со стороны других туристических центров России</w:t>
            </w:r>
          </w:p>
        </w:tc>
      </w:tr>
      <w:tr w:rsidR="008C7515" w:rsidRPr="008C7515" w:rsidTr="008C7515">
        <w:tc>
          <w:tcPr>
            <w:tcW w:w="1193" w:type="pct"/>
            <w:vMerge w:val="restart"/>
            <w:tcBorders>
              <w:top w:val="nil"/>
              <w:left w:val="single" w:sz="6" w:space="0" w:color="000000"/>
              <w:bottom w:val="single" w:sz="6" w:space="0" w:color="000000"/>
              <w:right w:val="nil"/>
            </w:tcBorders>
            <w:tcMar>
              <w:top w:w="0"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lastRenderedPageBreak/>
              <w:t>Пространство и инфраструктура</w:t>
            </w: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Сильные стороны</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Слабые стороны</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удобное географическое расположение по отношению к основным транспортным магистралям;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нескольких видов транспорта: автобус, железнодорожное сообщение;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благоустроенных комфортных окружных пространств;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высокая плотность озеленения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актуализированный генеральный план под потребности бизнеса и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водных объектов и родников.</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физический и моральный износ основных элементов окружной инфраструктуры, инженерных коммуникаций, жилищного фонда;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недостаточное развитие транспортной инфраструктуры негативно влияет на мобильность населения, снижая его эффективную трудовую активность;</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недостаточный уровень обновления общественного транспорта;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-территориальная удаленность населенных пунктов от опорного центра.</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Возможности</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Угрозы</w:t>
            </w:r>
          </w:p>
        </w:tc>
      </w:tr>
      <w:tr w:rsidR="008C7515" w:rsidRPr="008C7515" w:rsidTr="008C7515">
        <w:tc>
          <w:tcPr>
            <w:tcW w:w="1193" w:type="pct"/>
            <w:vMerge/>
            <w:tcBorders>
              <w:top w:val="nil"/>
              <w:left w:val="single" w:sz="6" w:space="0" w:color="000000"/>
              <w:bottom w:val="single" w:sz="6" w:space="0" w:color="000000"/>
              <w:right w:val="nil"/>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участие в национальных проектах и различных программах, направленных на улучшение окружной среды;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сбалансированное развитие дорожно-транспортной инфраструктуры для населения и бизнеса;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жилищного строительства;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эффективности территориального планирования и пространственного развития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цифровизации.</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отклонение заявок на участие в национальных проектах;</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отсутствие финансирования или недостаточное финансирование;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сокращение финансирования федеральных проектов;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наличие рисков природных аномалий;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-проявление вандализма.</w:t>
            </w:r>
          </w:p>
        </w:tc>
      </w:tr>
      <w:tr w:rsidR="008C7515" w:rsidRPr="008C7515" w:rsidTr="008C7515">
        <w:tc>
          <w:tcPr>
            <w:tcW w:w="1193" w:type="pct"/>
            <w:vMerge w:val="restart"/>
            <w:tcBorders>
              <w:top w:val="single" w:sz="6" w:space="0" w:color="000000"/>
              <w:left w:val="single" w:sz="6" w:space="0" w:color="000000"/>
              <w:bottom w:val="single" w:sz="6" w:space="0" w:color="000000"/>
              <w:right w:val="single" w:sz="6" w:space="0" w:color="000000"/>
            </w:tcBorders>
            <w:tcMar>
              <w:top w:w="0"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Муниципальное и общественное управление</w:t>
            </w: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Сильные стороны</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Слабые стороны</w:t>
            </w:r>
          </w:p>
        </w:tc>
      </w:tr>
      <w:tr w:rsidR="008C7515" w:rsidRPr="008C7515" w:rsidTr="008C7515">
        <w:tc>
          <w:tcPr>
            <w:tcW w:w="1193" w:type="pct"/>
            <w:vMerge/>
            <w:tcBorders>
              <w:top w:val="single" w:sz="6" w:space="0" w:color="000000"/>
              <w:left w:val="single" w:sz="6" w:space="0" w:color="000000"/>
              <w:bottom w:val="single" w:sz="6" w:space="0" w:color="000000"/>
              <w:right w:val="single" w:sz="6" w:space="0" w:color="000000"/>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развитая система территориального общественного самоуправления;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наличие механизмов по вовлечению жителей в процессы принятия управленческих решений;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прозрачность формирования и исполнения бюджета округа.</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значительный объем муниципального долга;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низкий уровень обеспеченности </w:t>
            </w:r>
            <w:r w:rsidRPr="00CB09E9">
              <w:rPr>
                <w:rFonts w:ascii="Arial" w:eastAsia="Times New Roman" w:hAnsi="Arial" w:cs="Arial"/>
                <w:color w:val="000000" w:themeColor="text1"/>
                <w:sz w:val="24"/>
                <w:szCs w:val="24"/>
                <w:lang w:eastAsia="ru-RU"/>
              </w:rPr>
              <w:lastRenderedPageBreak/>
              <w:t>муниципального бюджета собственными доходами;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исчерпание потенциала приватизации муниципального имущества и, как следствие, планируемое снижение поступлений в бюджет округа от управления муниципальным имуществом;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высокий уровень теневой занятости.</w:t>
            </w:r>
          </w:p>
        </w:tc>
      </w:tr>
      <w:tr w:rsidR="008C7515" w:rsidRPr="008C7515" w:rsidTr="008C7515">
        <w:tc>
          <w:tcPr>
            <w:tcW w:w="1193" w:type="pct"/>
            <w:vMerge/>
            <w:tcBorders>
              <w:top w:val="single" w:sz="6" w:space="0" w:color="000000"/>
              <w:left w:val="single" w:sz="6" w:space="0" w:color="000000"/>
              <w:bottom w:val="single" w:sz="6" w:space="0" w:color="000000"/>
              <w:right w:val="single" w:sz="6" w:space="0" w:color="000000"/>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single" w:sz="6" w:space="0" w:color="000000"/>
              <w:right w:val="nil"/>
            </w:tcBorders>
            <w:tcMar>
              <w:top w:w="58" w:type="dxa"/>
              <w:left w:w="58" w:type="dxa"/>
              <w:bottom w:w="58"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Возможности</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Угрозы</w:t>
            </w:r>
          </w:p>
        </w:tc>
      </w:tr>
      <w:tr w:rsidR="008C7515" w:rsidRPr="008C7515" w:rsidTr="008C7515">
        <w:tc>
          <w:tcPr>
            <w:tcW w:w="1193" w:type="pct"/>
            <w:vMerge/>
            <w:tcBorders>
              <w:top w:val="single" w:sz="6" w:space="0" w:color="000000"/>
              <w:left w:val="single" w:sz="6" w:space="0" w:color="000000"/>
              <w:bottom w:val="single" w:sz="6" w:space="0" w:color="000000"/>
              <w:right w:val="single" w:sz="6" w:space="0" w:color="000000"/>
            </w:tcBorders>
            <w:vAlign w:val="center"/>
            <w:hideMark/>
          </w:tcPr>
          <w:p w:rsidR="00CB09E9" w:rsidRPr="00CB09E9" w:rsidRDefault="00CB09E9" w:rsidP="00CB09E9">
            <w:pPr>
              <w:spacing w:after="0" w:line="240" w:lineRule="auto"/>
              <w:jc w:val="both"/>
              <w:rPr>
                <w:rFonts w:ascii="Arial" w:eastAsia="Times New Roman" w:hAnsi="Arial" w:cs="Arial"/>
                <w:color w:val="000000" w:themeColor="text1"/>
                <w:sz w:val="24"/>
                <w:szCs w:val="24"/>
                <w:lang w:eastAsia="ru-RU"/>
              </w:rPr>
            </w:pPr>
          </w:p>
        </w:tc>
        <w:tc>
          <w:tcPr>
            <w:tcW w:w="1860" w:type="pct"/>
            <w:tcBorders>
              <w:top w:val="single" w:sz="6" w:space="0" w:color="000000"/>
              <w:left w:val="single" w:sz="6" w:space="0" w:color="000000"/>
              <w:bottom w:val="nil"/>
              <w:right w:val="nil"/>
            </w:tcBorders>
            <w:tcMar>
              <w:top w:w="58" w:type="dxa"/>
              <w:left w:w="58" w:type="dxa"/>
              <w:bottom w:w="0" w:type="dxa"/>
              <w:right w:w="0"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цифровизации;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эффективности системы управления муниципальным имуществом (земля, имущество);</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лоббирование интересов муниципального образования на региональном и федеральном уровне;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и популяризация институтов местного самоуправления;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стимулирование социальной активности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системная информационная политика внутри муниципального образования;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стимулирование местного патриотизма.</w:t>
            </w:r>
          </w:p>
        </w:tc>
        <w:tc>
          <w:tcPr>
            <w:tcW w:w="1947" w:type="pct"/>
            <w:tcBorders>
              <w:top w:val="nil"/>
              <w:left w:val="single" w:sz="6" w:space="0" w:color="000000"/>
              <w:bottom w:val="single" w:sz="6" w:space="0" w:color="000000"/>
              <w:right w:val="single" w:sz="6" w:space="0" w:color="000000"/>
            </w:tcBorders>
            <w:tcMar>
              <w:top w:w="0" w:type="dxa"/>
              <w:left w:w="58" w:type="dxa"/>
              <w:bottom w:w="58"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снижение поступлений налоговых/ неналоговых доходов в бюджет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уровня инфляции;</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рост финансовой зависимости города от вышестоящих бюджетов;</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пассивность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низкий уровень политической активности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принятие управленческих решений без учета мнения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утрата органами местного самоуправления доверия населения.</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3. Стратегические направления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3.1. Главная стратегическая цель. Стратегические цели и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числе национальных целей развития, обозначенных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определены следующие цели: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сохранение населения, укрепление здоровья и повышение благополучия людей, поддержка семьи;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реализация потенциала каждого человека, развитие его талантов, воспитание патриотичной и социально ответственной личности;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комфортная и безопасная среда для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экологическое благополучие;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устойчивая и динамичная экономика;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технологическое лидерство;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7) цифровая трансформация государственного и муниципального управления, экономики и социальной сферы.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 учетом выявленных конкурентных преимуществ, исторически сложившейся ситуации, природных особенностей, географического положения, а также основных потенциальных возможностей муниципального образования сформирована главная стратегическая цель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ГСЦ. Стабильное повышение качества жизни населения Становлянского округа на основе формирования устойчивой экономики, ключевой движущей силой которой станет человеческий капитал, в экологически чистом, ухоженном округе.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Только население, живущее в достойных условиях, соответствующих современным мировым стандартам, может обеспечить экономическое процветание общества и социальную стабильность. Граждане должны свободно чувствовать себя в условиях всеобщей цифровизации, воспринимать и осваивать новейшие технологические достижения, стремиться жить, основываясь на духовных ценностях и традициях.</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3.1.1.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46"/>
        <w:gridCol w:w="4593"/>
      </w:tblGrid>
      <w:tr w:rsidR="008C7515" w:rsidRPr="008C7515" w:rsidTr="008C7515">
        <w:tc>
          <w:tcPr>
            <w:tcW w:w="2541"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Стратегические цели</w:t>
            </w:r>
          </w:p>
        </w:tc>
        <w:tc>
          <w:tcPr>
            <w:tcW w:w="2459"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Задачи</w:t>
            </w:r>
          </w:p>
        </w:tc>
      </w:tr>
      <w:tr w:rsidR="008C7515" w:rsidRPr="008C7515" w:rsidTr="008C7515">
        <w:tc>
          <w:tcPr>
            <w:tcW w:w="2541"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СЦ1. Обеспечение комфортных условий для жизни и развития населения</w:t>
            </w:r>
          </w:p>
        </w:tc>
        <w:tc>
          <w:tcPr>
            <w:tcW w:w="2459"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сохранение численности населения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обеспечение кадровых потребностей предприятий;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-повышение качества медицинских услуг;</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доступности и качества предоставления дошкольного, общего и дополнительного образования детей;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духовно-нравственных ценностей и гражданско-патриотического самосознания в молодежной среде;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качества культурного обслуживания населения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увеличение доли населения систематически занимающегося физической культурой и спортом.</w:t>
            </w:r>
          </w:p>
        </w:tc>
      </w:tr>
      <w:tr w:rsidR="008C7515" w:rsidRPr="008C7515" w:rsidTr="008C7515">
        <w:tc>
          <w:tcPr>
            <w:tcW w:w="2541"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СЦ2. Развитие устойчивой экономики и успешного предпринимательства</w:t>
            </w:r>
          </w:p>
        </w:tc>
        <w:tc>
          <w:tcPr>
            <w:tcW w:w="2459"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агропромышленного комплекса;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формирование в округе активного бизнес-сообщества;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инвестиционной привлекательности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создание новых рабочих мест;</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развитие туристической инфраструктуры.</w:t>
            </w:r>
          </w:p>
        </w:tc>
      </w:tr>
      <w:tr w:rsidR="008C7515" w:rsidRPr="008C7515" w:rsidTr="008C7515">
        <w:tc>
          <w:tcPr>
            <w:tcW w:w="2541"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СЦ3. Создание комфортной и безопасной среды для жизни населения и гармоничного пространственного развития</w:t>
            </w:r>
          </w:p>
        </w:tc>
        <w:tc>
          <w:tcPr>
            <w:tcW w:w="2459"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качества коммунальных услуг;</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улучшение внешнего облика Становлянского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обеспечение доступным и комфортным жильем население округа;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качества транспортного обслуживания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улучшение экологической обстановки и условий проживания на территории округа.</w:t>
            </w:r>
          </w:p>
        </w:tc>
      </w:tr>
      <w:tr w:rsidR="008C7515" w:rsidRPr="008C7515" w:rsidTr="008C7515">
        <w:tc>
          <w:tcPr>
            <w:tcW w:w="2541"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СЦ4. Повышение эффективности муниципального управления</w:t>
            </w:r>
          </w:p>
        </w:tc>
        <w:tc>
          <w:tcPr>
            <w:tcW w:w="2459" w:type="pc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совершенствование системы профессионального развития кадров органов местного самоуправления;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повышение эффективности взаимодействия органов местного самоуправления округа и гражданского общества;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-увеличение поступления налоговых и неналоговых доходов в бюджет округа.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Достижение этих целей означает формирование качественно нового образа будущего Становлянского округа к концу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качество жизни населения Становлянского округа характеризуется повышением уровня доходов, потребления товаров и услуг, комфортностью проживания, развитой системой социального обеспечения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Становлянский округ, динамично развивающийся округ Липецкой области с развитой экономикой по всем видам хозяйственной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в Становлянском округе сохраняются производственные мощности в агропромышленном комплексе, повышается конкурентоспособность производимой продукции;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результате реализации Стратегии облик Становлянского округа должен соответствовать не только требованиям местного населения, но и всем нормам и критериям жизни цивилизованного 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3.2. Пространственное развитие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Становлянский округ находится на северо-западе Липецкой области и граничит на севере </w:t>
      </w:r>
      <w:r w:rsidRPr="00CB09E9">
        <w:rPr>
          <w:rFonts w:ascii="Arial" w:eastAsia="Times New Roman" w:hAnsi="Arial" w:cs="Arial"/>
          <w:color w:val="000000" w:themeColor="text1"/>
          <w:spacing w:val="-2"/>
          <w:sz w:val="24"/>
          <w:szCs w:val="24"/>
          <w:lang w:eastAsia="ru-RU"/>
        </w:rPr>
        <w:t xml:space="preserve">с </w:t>
      </w:r>
      <w:proofErr w:type="spellStart"/>
      <w:r w:rsidRPr="00CB09E9">
        <w:rPr>
          <w:rFonts w:ascii="Arial" w:eastAsia="Times New Roman" w:hAnsi="Arial" w:cs="Arial"/>
          <w:color w:val="000000" w:themeColor="text1"/>
          <w:spacing w:val="-2"/>
          <w:sz w:val="24"/>
          <w:szCs w:val="24"/>
          <w:lang w:eastAsia="ru-RU"/>
        </w:rPr>
        <w:t>Ефремовским</w:t>
      </w:r>
      <w:proofErr w:type="spellEnd"/>
      <w:r w:rsidRPr="00CB09E9">
        <w:rPr>
          <w:rFonts w:ascii="Arial" w:eastAsia="Times New Roman" w:hAnsi="Arial" w:cs="Arial"/>
          <w:color w:val="000000" w:themeColor="text1"/>
          <w:spacing w:val="-2"/>
          <w:sz w:val="24"/>
          <w:szCs w:val="24"/>
          <w:lang w:eastAsia="ru-RU"/>
        </w:rPr>
        <w:t xml:space="preserve"> и Шиловским районами Тульской области, на востоке - с </w:t>
      </w:r>
      <w:proofErr w:type="spellStart"/>
      <w:r w:rsidRPr="00CB09E9">
        <w:rPr>
          <w:rFonts w:ascii="Arial" w:eastAsia="Times New Roman" w:hAnsi="Arial" w:cs="Arial"/>
          <w:color w:val="000000" w:themeColor="text1"/>
          <w:spacing w:val="-2"/>
          <w:sz w:val="24"/>
          <w:szCs w:val="24"/>
          <w:lang w:eastAsia="ru-RU"/>
        </w:rPr>
        <w:t>Краснинским</w:t>
      </w:r>
      <w:proofErr w:type="spellEnd"/>
      <w:r w:rsidRPr="00CB09E9">
        <w:rPr>
          <w:rFonts w:ascii="Arial" w:eastAsia="Times New Roman" w:hAnsi="Arial" w:cs="Arial"/>
          <w:color w:val="000000" w:themeColor="text1"/>
          <w:spacing w:val="-2"/>
          <w:sz w:val="24"/>
          <w:szCs w:val="24"/>
          <w:lang w:eastAsia="ru-RU"/>
        </w:rPr>
        <w:t xml:space="preserve"> районом Липецкой области, на юго-востоке - с Елецким районом Липецкой области, на юго-западе - с </w:t>
      </w:r>
      <w:proofErr w:type="spellStart"/>
      <w:r w:rsidRPr="00CB09E9">
        <w:rPr>
          <w:rFonts w:ascii="Arial" w:eastAsia="Times New Roman" w:hAnsi="Arial" w:cs="Arial"/>
          <w:color w:val="000000" w:themeColor="text1"/>
          <w:spacing w:val="-2"/>
          <w:sz w:val="24"/>
          <w:szCs w:val="24"/>
          <w:lang w:eastAsia="ru-RU"/>
        </w:rPr>
        <w:t>Измалковским</w:t>
      </w:r>
      <w:proofErr w:type="spellEnd"/>
      <w:r w:rsidRPr="00CB09E9">
        <w:rPr>
          <w:rFonts w:ascii="Arial" w:eastAsia="Times New Roman" w:hAnsi="Arial" w:cs="Arial"/>
          <w:color w:val="000000" w:themeColor="text1"/>
          <w:spacing w:val="-2"/>
          <w:sz w:val="24"/>
          <w:szCs w:val="24"/>
          <w:lang w:eastAsia="ru-RU"/>
        </w:rPr>
        <w:t xml:space="preserve"> округом Липецкой области и на западе - с Орловской областью. Территория Становлянского округа - 1348,95 кв. км, что составляет 5,6% от территории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В Становлянский округ входят 122 населенных пункта, плотность населения - 12,2 человек на 1 кв. км. Село Становое с численностью населения более 5 тыс. человек имеет статус опорного населенного пункта. Опорный населенный пункт - это населенный пункт, на базе которого будет осуществляться ускоренное развитие инфраструктуры, обеспечивающей реализацию потребностей населения всей территории округа. Узлами активности являются населенные пункты, имеющие предприятия агрономического предназначения: с. Становое, д. </w:t>
      </w:r>
      <w:proofErr w:type="spellStart"/>
      <w:r w:rsidRPr="00CB09E9">
        <w:rPr>
          <w:rFonts w:ascii="Arial" w:eastAsia="Times New Roman" w:hAnsi="Arial" w:cs="Arial"/>
          <w:color w:val="000000" w:themeColor="text1"/>
          <w:spacing w:val="-2"/>
          <w:sz w:val="24"/>
          <w:szCs w:val="24"/>
          <w:lang w:eastAsia="ru-RU"/>
        </w:rPr>
        <w:t>Лукьяновка</w:t>
      </w:r>
      <w:proofErr w:type="spellEnd"/>
      <w:r w:rsidRPr="00CB09E9">
        <w:rPr>
          <w:rFonts w:ascii="Arial" w:eastAsia="Times New Roman" w:hAnsi="Arial" w:cs="Arial"/>
          <w:color w:val="000000" w:themeColor="text1"/>
          <w:spacing w:val="-2"/>
          <w:sz w:val="24"/>
          <w:szCs w:val="24"/>
          <w:lang w:eastAsia="ru-RU"/>
        </w:rPr>
        <w:t xml:space="preserve">, с. Ламское, д. Толстая Дубрава, с. Пальна-Михайловка, </w:t>
      </w:r>
      <w:proofErr w:type="spellStart"/>
      <w:r w:rsidRPr="00CB09E9">
        <w:rPr>
          <w:rFonts w:ascii="Arial" w:eastAsia="Times New Roman" w:hAnsi="Arial" w:cs="Arial"/>
          <w:color w:val="000000" w:themeColor="text1"/>
          <w:spacing w:val="-2"/>
          <w:sz w:val="24"/>
          <w:szCs w:val="24"/>
          <w:lang w:eastAsia="ru-RU"/>
        </w:rPr>
        <w:t>с.Тростное</w:t>
      </w:r>
      <w:proofErr w:type="spellEnd"/>
      <w:r w:rsidRPr="00CB09E9">
        <w:rPr>
          <w:rFonts w:ascii="Arial" w:eastAsia="Times New Roman" w:hAnsi="Arial" w:cs="Arial"/>
          <w:color w:val="000000" w:themeColor="text1"/>
          <w:spacing w:val="-2"/>
          <w:sz w:val="24"/>
          <w:szCs w:val="24"/>
          <w:lang w:eastAsia="ru-RU"/>
        </w:rPr>
        <w:t>. В 47 населенных пунктах население составляет от 0 до 10 человек.</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Становлянский округ обладает развитой транспортной инфраструктурой. Административный центр - село Становое имеет сообщение со всеми населенными </w:t>
      </w:r>
      <w:r w:rsidRPr="00CB09E9">
        <w:rPr>
          <w:rFonts w:ascii="Arial" w:eastAsia="Times New Roman" w:hAnsi="Arial" w:cs="Arial"/>
          <w:color w:val="000000" w:themeColor="text1"/>
          <w:spacing w:val="-2"/>
          <w:sz w:val="24"/>
          <w:szCs w:val="24"/>
          <w:lang w:eastAsia="ru-RU"/>
        </w:rPr>
        <w:lastRenderedPageBreak/>
        <w:t>пунктами Становлянского округа. Расстояние от села Становое до города Липецк - 110 км, до города Москва - 365 км.</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3.2.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Расстояние от села Становое до ближайших городов</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245"/>
        <w:gridCol w:w="7094"/>
      </w:tblGrid>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pacing w:val="-2"/>
                <w:sz w:val="24"/>
                <w:szCs w:val="24"/>
                <w:lang w:eastAsia="ru-RU"/>
              </w:rPr>
              <w:t>Города</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pacing w:val="-2"/>
                <w:sz w:val="24"/>
                <w:szCs w:val="24"/>
                <w:lang w:eastAsia="ru-RU"/>
              </w:rPr>
              <w:t>Расстояние, км (по автодорогам)</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Липецк</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110</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Елец</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18</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Лебедянь</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50</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Ефремов</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50</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Воронеж</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w:t>
            </w:r>
          </w:p>
        </w:tc>
      </w:tr>
      <w:tr w:rsidR="008C7515" w:rsidRPr="008C7515" w:rsidTr="008C7515">
        <w:tc>
          <w:tcPr>
            <w:tcW w:w="120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Москва</w:t>
            </w:r>
          </w:p>
        </w:tc>
        <w:tc>
          <w:tcPr>
            <w:tcW w:w="379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365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Протяженность автомобильных дорог общего пользования на территории муниципального округа составляет 725,29 км, в том числе с твердым покрытием - 503,64 км.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По территории Становлянского округа проходит федеральная трасса М-4 "Дон". На данном участке она является составной частью европейского автомобильного маршрута E-115 (Ярославль - Новороссийск), что </w:t>
      </w:r>
      <w:r w:rsidRPr="00CB09E9">
        <w:rPr>
          <w:rFonts w:ascii="Arial" w:eastAsia="Times New Roman" w:hAnsi="Arial" w:cs="Arial"/>
          <w:color w:val="000000" w:themeColor="text1"/>
          <w:sz w:val="24"/>
          <w:szCs w:val="24"/>
          <w:lang w:eastAsia="ru-RU"/>
        </w:rPr>
        <w:t>обеспечивает округу выгодные позиции.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Железнодорожная инфраструктура муниципального округа представлена путями широкой колеи (находится в ведении Елецкого отделения Юго-Восточной железной дороги ОАО "РЖД"), по которым осуществляется движение как грузовых, так и пассажирских составов. Общая протяжённость железнодорожных линий в границах муниципального округа составляет 108,3 км.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Объекты культурного наследия, объекты архитектуры, прекрасный ландшафт, событийные мероприятия позволяют говорить о создании собственного культурного кластера с развитием малого бизнеса в сфере услуг и развития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этой связи приоритетными направлениями пространственного развития Становлянского округа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формирование рациональной структуры размещения производительных сил. Это позволит максимально раскрыть социально-экономический потенциал всех территорий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привлечение инвесторов на периферийные территории;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повышение обустройства населенных пунктов Становлянского округа инженерной, дорожной, коммунальной и социальной инфраструктурой;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стимулирование развития местных инициатив, в том числе в сфере благоустройства;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вовлечение населения в процесс принятия управленческих решений в отношении социально-экономического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Также одним из приоритетов является развитие туризма. В поселениях с богатым историко-культурным наследием перспективна организация туристских маршрутов по историческим местам, проведение событийных фестивалей.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4. Реализация стратегических направлений развития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4.1. Первое стратегическое направление: создание комфортных условий для жизни и развития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lastRenderedPageBreak/>
        <w:t>4.1.1. Демографическое развитие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улучшение демографической ситуации (снижение естественной убыли населения, сокращение миграции населения за пределы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укрепление института семьи, формирование духовно-нравственных, семейных ценностей, повышение престижности материнства и отцовства, формирование у населения установок на многодетность, организация социально значимых мероприятий для семей, воспитывающих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100-процентное удовлетворение потребности в услугах дошкольных образовательных организаций;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профилактика дорожно-транспортных происшествий;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создание социально-психологического климата в обществе с установками на снижение потребления алкоголя и табакокурения;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предоставление земельных участков многодетным семьям.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численность населения Становлянского округа должна стабилизироваться на уровне не ниже 16521 человек к 2030 году;</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увеличение ожидаемой продолжительности жизни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повышение рождаемости, популяризация положительного опыта института материнства и детства;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снижение смертности;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сокращение миграции, в том числе молодежи.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4.1.2. Сфера занятости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содействие в реализации прав граждан на безопасный и здоровый труд, полную, продуктивную занятость и обеспечение социальной защиты от безработицы.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активизация деятельности по формированию мотивированного выбора профессий, получению профессионального образования в соответствии с требованиями современного рынка труда;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повышение уровня доступности услуг в сфере образования, культуры и искусства, физкультуры и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переобучение на востребованные для округа профессии;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профориентация школьников;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формирование доступной среды для инвалидов и других маломобильных групп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профилактика безнадзорности и правонарушений несовершеннолетних;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содействие занятости молодежи, в том числе несовершеннолетних в свободное от учёбы время.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размера среднемесячной заработной платы работников до уровня не ниже среднего по ЦФО;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снижение уровня безработицы;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обеспечение потребностей предприятий и организаций квалифицированными кадрами.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4.1.3. Здравоохранение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Стратегическая цель - обеспечение доступности и высокого качества медицинской помощи на территории Становлянского округа, сохранение и укрепление физического, психического здоровья и активного долголетия каждого жителя.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Становлянская ЦРБ активно участвует во всех проектах по снижению смертности от сердечно-сосудистых и онкологических заболеваний, от травм в дорожно-транспортных происшествиях, а также в проекте модернизации отрасли.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больницу поступает современное медицинское оборудование, позволяющее применять различные методики лечения.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проведение пропаганды здорового образа жизни, формирование мотивации для ведения здорового образа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помощь в организации проведения диспансеризации детского и взрослого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создание условий для профессиональной деятельности медицинских работников в сельской местности, в первую очередь, молодых специалистов;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оказание помощи медицинским работникам в получении служебных помещений специализированного жилищного фонда;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создание условий для доступности для населения безопасных и качественных лекарственных средств.</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4.1.3.1.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здравоохранения</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96"/>
        <w:gridCol w:w="3106"/>
        <w:gridCol w:w="1666"/>
        <w:gridCol w:w="2126"/>
        <w:gridCol w:w="1845"/>
      </w:tblGrid>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Поликлиники ГУЗ "Становлянская РБ"</w:t>
            </w:r>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Региональные, федеральные</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130</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терапевтического отделения ГУЗ "Становлянская РБ"</w:t>
            </w:r>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поликлиники в с. Ламское</w:t>
            </w:r>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21,22</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ФАП с. </w:t>
            </w:r>
            <w:proofErr w:type="spellStart"/>
            <w:r w:rsidRPr="00CB09E9">
              <w:rPr>
                <w:rFonts w:ascii="Arial" w:eastAsia="Times New Roman" w:hAnsi="Arial" w:cs="Arial"/>
                <w:color w:val="000000" w:themeColor="text1"/>
                <w:sz w:val="24"/>
                <w:szCs w:val="24"/>
                <w:lang w:eastAsia="ru-RU"/>
              </w:rPr>
              <w:t>Злобино</w:t>
            </w:r>
            <w:proofErr w:type="spellEnd"/>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15,21</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ФАП д. </w:t>
            </w:r>
            <w:proofErr w:type="spellStart"/>
            <w:r w:rsidRPr="00CB09E9">
              <w:rPr>
                <w:rFonts w:ascii="Arial" w:eastAsia="Times New Roman" w:hAnsi="Arial" w:cs="Arial"/>
                <w:color w:val="000000" w:themeColor="text1"/>
                <w:sz w:val="24"/>
                <w:szCs w:val="24"/>
                <w:lang w:eastAsia="ru-RU"/>
              </w:rPr>
              <w:t>Бродки</w:t>
            </w:r>
            <w:proofErr w:type="spellEnd"/>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15,21</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ФАП с. </w:t>
            </w:r>
            <w:proofErr w:type="spellStart"/>
            <w:r w:rsidRPr="00CB09E9">
              <w:rPr>
                <w:rFonts w:ascii="Arial" w:eastAsia="Times New Roman" w:hAnsi="Arial" w:cs="Arial"/>
                <w:color w:val="000000" w:themeColor="text1"/>
                <w:sz w:val="24"/>
                <w:szCs w:val="24"/>
                <w:lang w:eastAsia="ru-RU"/>
              </w:rPr>
              <w:t>Барсуково</w:t>
            </w:r>
            <w:proofErr w:type="spellEnd"/>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w:t>
            </w:r>
          </w:p>
        </w:tc>
      </w:tr>
      <w:tr w:rsidR="008C7515" w:rsidRPr="008C7515" w:rsidTr="008C7515">
        <w:tc>
          <w:tcPr>
            <w:tcW w:w="3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166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ФАП с. </w:t>
            </w:r>
            <w:proofErr w:type="spellStart"/>
            <w:r w:rsidRPr="00CB09E9">
              <w:rPr>
                <w:rFonts w:ascii="Arial" w:eastAsia="Times New Roman" w:hAnsi="Arial" w:cs="Arial"/>
                <w:color w:val="000000" w:themeColor="text1"/>
                <w:sz w:val="24"/>
                <w:szCs w:val="24"/>
                <w:lang w:eastAsia="ru-RU"/>
              </w:rPr>
              <w:t>Кириллово</w:t>
            </w:r>
            <w:proofErr w:type="spellEnd"/>
          </w:p>
        </w:tc>
        <w:tc>
          <w:tcPr>
            <w:tcW w:w="89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2025 - 2026</w:t>
            </w:r>
          </w:p>
        </w:tc>
        <w:tc>
          <w:tcPr>
            <w:tcW w:w="11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8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достижение установленных целевых показателей национального проекта "Продолжительная и активная жизнь";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сформированная у населения мотивация к здоровому образу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отсутствует дефицит обеспеченности медицинским персоналом;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высокое качество оказания медицинских услуг за счет использования современного высокотехнологичного медицинского оборудования;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д) высокое качество обслуживания населения в сфере здравоохранения.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4.1.4. Образование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повышение доступности, эффективности и качества образования в Становлянском округе.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обеспечение доступности качественного образования детям, проживающим в сельской местности;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вовлечённости в образовательный процесс;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3) реализация проекта "Школа </w:t>
      </w:r>
      <w:proofErr w:type="spellStart"/>
      <w:r w:rsidRPr="00CB09E9">
        <w:rPr>
          <w:rFonts w:ascii="Arial" w:eastAsia="Times New Roman" w:hAnsi="Arial" w:cs="Arial"/>
          <w:color w:val="000000" w:themeColor="text1"/>
          <w:sz w:val="24"/>
          <w:szCs w:val="24"/>
          <w:lang w:eastAsia="ru-RU"/>
        </w:rPr>
        <w:t>Минпросвещения</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формирование эффективной системы выявления, поддержки и развития способностей и талантов у детей, основанной на принципах справедливости, всеобщности и направленной на самоопределение и профессиональную ориентацию всех обучающихся;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внедрение и отработка моделей сетевого взаимодействия учреждений, предоставляющих образовательные услуги;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создание условий для обеспечения успешной социализации и обучения детей с ограниченными возможностями здоровья и детей-инвалидов;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реализация проекта по развитию школьных театров;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развитие олимпиадного движения обучающихся;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повышение социального статуса педагогов;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стимулирование педагогов к инновационной деятельности и непрерывному профессиональному развитию;</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 активизация работы по привлечению педагогических коллективов к инновационной деятельности, непрерывному профессиональному развитию и участию в конкурсном движении разного уровня;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 создание современной инфраструктуры дополнительного образования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 экспертиза дополнительных образовательных программ и внедрение новых технологий дополнительного образования в соответствии с современными требованиями развития 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 участие в региональных проектах, входящих в национальный проект "Молодёжь и дети" и "Семья";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 развитие и содержание материально-технической базы физической культуры и спорта, внедрение Всероссийского физкультурно-спортивного комплекса "Готов к труду и обороне", использование физической культуры и спорта как одного из средств профилактики заболеваний, укрепления здоровья, поддержания высокой работоспособности человека, формирование потребности людей в физическом совершенстве и повышение заинтересованности в собственном здоровье.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Продолжим реализацию комплекса мер, направленных на обеспечение безопасности в образовательных организациях, укрепления здоровья школьников и поддержка семей с детьми, включающие продолжение работы по организации качественного горячего питания, медицинского обслуживания, подвоза детей до общеобразовательных организаций и к месту проживания. Запланирована замена устаревшего автотранспорта, приобретение нового автотранспорта в МБОУ "СШ </w:t>
      </w:r>
      <w:proofErr w:type="spellStart"/>
      <w:r w:rsidRPr="00CB09E9">
        <w:rPr>
          <w:rFonts w:ascii="Arial" w:eastAsia="Times New Roman" w:hAnsi="Arial" w:cs="Arial"/>
          <w:color w:val="000000" w:themeColor="text1"/>
          <w:sz w:val="24"/>
          <w:szCs w:val="24"/>
          <w:lang w:eastAsia="ru-RU"/>
        </w:rPr>
        <w:t>с.Тростное</w:t>
      </w:r>
      <w:proofErr w:type="spellEnd"/>
      <w:r w:rsidRPr="00CB09E9">
        <w:rPr>
          <w:rFonts w:ascii="Arial" w:eastAsia="Times New Roman" w:hAnsi="Arial" w:cs="Arial"/>
          <w:color w:val="000000" w:themeColor="text1"/>
          <w:sz w:val="24"/>
          <w:szCs w:val="24"/>
          <w:lang w:eastAsia="ru-RU"/>
        </w:rPr>
        <w:t xml:space="preserve">", МБДОУ "Ягодка" с. </w:t>
      </w:r>
      <w:proofErr w:type="spellStart"/>
      <w:r w:rsidRPr="00CB09E9">
        <w:rPr>
          <w:rFonts w:ascii="Arial" w:eastAsia="Times New Roman" w:hAnsi="Arial" w:cs="Arial"/>
          <w:color w:val="000000" w:themeColor="text1"/>
          <w:sz w:val="24"/>
          <w:szCs w:val="24"/>
          <w:lang w:eastAsia="ru-RU"/>
        </w:rPr>
        <w:t>Чернолес</w:t>
      </w:r>
      <w:proofErr w:type="spellEnd"/>
      <w:r w:rsidRPr="00CB09E9">
        <w:rPr>
          <w:rFonts w:ascii="Arial" w:eastAsia="Times New Roman" w:hAnsi="Arial" w:cs="Arial"/>
          <w:color w:val="000000" w:themeColor="text1"/>
          <w:sz w:val="24"/>
          <w:szCs w:val="24"/>
          <w:lang w:eastAsia="ru-RU"/>
        </w:rPr>
        <w:t xml:space="preserve"> с целью организации подвоза </w:t>
      </w:r>
      <w:r w:rsidRPr="00CB09E9">
        <w:rPr>
          <w:rFonts w:ascii="Arial" w:eastAsia="Times New Roman" w:hAnsi="Arial" w:cs="Arial"/>
          <w:color w:val="000000" w:themeColor="text1"/>
          <w:sz w:val="24"/>
          <w:szCs w:val="24"/>
          <w:lang w:eastAsia="ru-RU"/>
        </w:rPr>
        <w:lastRenderedPageBreak/>
        <w:t>обучающихся, проживающих на удаленном расстоянии от образовательных организаций.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Перед системой образования стоят задачи по внедрению принципов цифровизации в свою деятельность - перевод услуг в электронный вид и вывод их на ЕГПУ, повышение квалификации педагогических работников в области цифровых технологий, искусственного интеллекта.</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4.1.4.1.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образования</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23"/>
        <w:gridCol w:w="2953"/>
        <w:gridCol w:w="1743"/>
        <w:gridCol w:w="2012"/>
        <w:gridCol w:w="2008"/>
      </w:tblGrid>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МБОУ ДО ДЮСШ "Дельфин"</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150</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школы в д. </w:t>
            </w:r>
            <w:proofErr w:type="spellStart"/>
            <w:r w:rsidRPr="00CB09E9">
              <w:rPr>
                <w:rFonts w:ascii="Arial" w:eastAsia="Times New Roman" w:hAnsi="Arial" w:cs="Arial"/>
                <w:color w:val="000000" w:themeColor="text1"/>
                <w:sz w:val="24"/>
                <w:szCs w:val="24"/>
                <w:lang w:eastAsia="ru-RU"/>
              </w:rPr>
              <w:t>Лукьяновка</w:t>
            </w:r>
            <w:proofErr w:type="spellEnd"/>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2026 - 2027</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490</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школы с. Дмитриевка</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56,73</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школы с. </w:t>
            </w:r>
            <w:proofErr w:type="spellStart"/>
            <w:r w:rsidRPr="00CB09E9">
              <w:rPr>
                <w:rFonts w:ascii="Arial" w:eastAsia="Times New Roman" w:hAnsi="Arial" w:cs="Arial"/>
                <w:color w:val="000000" w:themeColor="text1"/>
                <w:sz w:val="24"/>
                <w:szCs w:val="24"/>
                <w:lang w:eastAsia="ru-RU"/>
              </w:rPr>
              <w:t>Тростное</w:t>
            </w:r>
            <w:proofErr w:type="spellEnd"/>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76,54</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школы в с. Толстая Дубрава</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2028</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200</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детского сада "Теремок" в с. Становое</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2029 - 2030</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293</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школы в с. Соловьёво</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2029</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65,19</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детского сада с. Толстая Дубрава</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w:t>
            </w:r>
          </w:p>
        </w:tc>
      </w:tr>
      <w:tr w:rsidR="008C7515" w:rsidRPr="008C7515" w:rsidTr="008C7515">
        <w:tc>
          <w:tcPr>
            <w:tcW w:w="33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w:t>
            </w:r>
          </w:p>
        </w:tc>
        <w:tc>
          <w:tcPr>
            <w:tcW w:w="158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детского сада "Сказка" с. Становое</w:t>
            </w:r>
          </w:p>
        </w:tc>
        <w:tc>
          <w:tcPr>
            <w:tcW w:w="93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c>
          <w:tcPr>
            <w:tcW w:w="10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7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повышение доступности и качества предоставления дошкольного, общего и дополнительного образования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развитие инфраструктуры сферы образования, создание в образовательных учреждениях условий, соответствующих современным требованиям к организации образовательного процесса;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повышение уровня профессиональной подготовки педагогов в условиях стандартизации образования;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roofErr w:type="gramStart"/>
      <w:r w:rsidRPr="00CB09E9">
        <w:rPr>
          <w:rFonts w:ascii="Arial" w:eastAsia="Times New Roman" w:hAnsi="Arial" w:cs="Arial"/>
          <w:color w:val="000000" w:themeColor="text1"/>
          <w:sz w:val="24"/>
          <w:szCs w:val="24"/>
          <w:lang w:eastAsia="ru-RU"/>
        </w:rPr>
        <w:t>г)  сохранение</w:t>
      </w:r>
      <w:proofErr w:type="gramEnd"/>
      <w:r w:rsidRPr="00CB09E9">
        <w:rPr>
          <w:rFonts w:ascii="Arial" w:eastAsia="Times New Roman" w:hAnsi="Arial" w:cs="Arial"/>
          <w:color w:val="000000" w:themeColor="text1"/>
          <w:sz w:val="24"/>
          <w:szCs w:val="24"/>
          <w:lang w:eastAsia="ru-RU"/>
        </w:rPr>
        <w:t xml:space="preserve"> доли детей, охваченных дополнительными образовательными программами, внедрение дополнительных образовательных программ и технологий дополнительного образования в соответствии с запросами детей и родителей;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увеличение доли детей, участвующих в реализации профильного обучения;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увеличение доли детей, вовлеченных в систему духовно-нравственного и патриотического воспитания.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lastRenderedPageBreak/>
        <w:t>4.1.5. Культура и молодежная политика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обеспечение права граждан на доступ к культурным ценностям и реализация потенциала молодежи через развитие эффективных моделей и форм ее вовлечения в социально-значимые виды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связи с этим необходимо обновлять материальную базу муниципальных учреждений культуры, внедрять информационные услуги в отрасли, осуществлять переподготовку профессиональных кадров, расширить виды платных услуг, оказываемых населению на возмездной основе и увеличить объем предоставляемых платных услуг в 2030 году на 25% к уровню 2023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Выполняя Указ Президента Российской Федерации, сохранять размер средней заработной платы работникам культуры муниципальных учреждений культуры Становлянского округа не ниже 100% от среднегодовой заработной платы по региону.</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Особого внимания требует вопрос сохранения, использования, популяризации и охраны объектов культурного наследия (памятников истории и культуры), расположенных на территории Становлянского округа. Существует необходимость комплексного решения проблемы реставрации недвижимых памятников, вовлечения их в процесс развития туризма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формирование имиджа учреждений культуры округа, делающего их привлекательными, способными оказывать влияние на развитие социокультурной ситуации;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расширение спектра услуг и форм деятельности, предоставляемых структурными подразделениями - библиотеками в соответствии с выявленными интересами и потребностями реальных и потенциальных посетителей;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реставрация объектов культурного наследия (памятников истории и культуры)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адаптация традиционных направлений культуры к современным условиям, стимулирование возникновения новых направлений развития культуры, обеспечение условий для инновационной и инвестиционной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обеспечение сохранности библиотечных фондов, улучшение условий их хранения;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обеспечение непрерывности комплектования библиотек, технологического обновления, внедрения и распространения новых информационных продуктов и технологий в библиотеках;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совершенствование методик раннего выявления таланта и его поддержки;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сохранение детской школы искусств, как основы 3-ступенчатой системы образования в сфере культуры и искусства, повышение качества образовательного процесса: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проведение различных фестивалей, конкурсов, смотров, ориентированных на реализацию творческой активности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развитие культурного обмена;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 внедрение в отрасль новых информационных и телекоммуникационных технологий;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 укрепление материально-технической базы культурно-досуговых учреждений, повышение уровня их технической оснащенности;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 внедрение более эффективных методов финансирования и оплаты труда;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 заключение "эффективных контрактов" с вновь трудоустраиваемыми работниками культуры;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15)повышение престижа работников культуры.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Основные задачи в рамках молодежной политики - это работа с молодежными объединениями по активизации молодежи округа, вовлечение детей, находящихся в трудной жизненной ситуации, в работу объединений, обеспечение жильем молодых семей за счет бюджета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Молодежная политика: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продолжение деятельности по формированию выбора профессий, получению профессионального образования в соответствии с требованиями современного рынка труда;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содействие привлечению молодых людей к волонтерской деятельности, общественно полезной и социально значимой работе;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поддержка талантливой молодежи (проведение фестивалей и конкурсов).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формирование позитивного имиджа физически и нравственно здорового молодого человека;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5) создание положительного информационного поля вокруг здорового образа жизни как стиля молодых, выпуск тематических буклетов и брошюр, а </w:t>
      </w:r>
      <w:proofErr w:type="gramStart"/>
      <w:r w:rsidRPr="00CB09E9">
        <w:rPr>
          <w:rFonts w:ascii="Arial" w:eastAsia="Times New Roman" w:hAnsi="Arial" w:cs="Arial"/>
          <w:color w:val="000000" w:themeColor="text1"/>
          <w:sz w:val="24"/>
          <w:szCs w:val="24"/>
          <w:lang w:eastAsia="ru-RU"/>
        </w:rPr>
        <w:t>так же</w:t>
      </w:r>
      <w:proofErr w:type="gramEnd"/>
      <w:r w:rsidRPr="00CB09E9">
        <w:rPr>
          <w:rFonts w:ascii="Arial" w:eastAsia="Times New Roman" w:hAnsi="Arial" w:cs="Arial"/>
          <w:color w:val="000000" w:themeColor="text1"/>
          <w:sz w:val="24"/>
          <w:szCs w:val="24"/>
          <w:lang w:eastAsia="ru-RU"/>
        </w:rPr>
        <w:t xml:space="preserve"> участие в конкурсах социальной рекламы;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6) разработка и реализация комплекса мероприятий, направленных на профилактику </w:t>
      </w:r>
      <w:proofErr w:type="spellStart"/>
      <w:r w:rsidRPr="00CB09E9">
        <w:rPr>
          <w:rFonts w:ascii="Arial" w:eastAsia="Times New Roman" w:hAnsi="Arial" w:cs="Arial"/>
          <w:color w:val="000000" w:themeColor="text1"/>
          <w:sz w:val="24"/>
          <w:szCs w:val="24"/>
          <w:lang w:eastAsia="ru-RU"/>
        </w:rPr>
        <w:t>аддиктивного</w:t>
      </w:r>
      <w:proofErr w:type="spellEnd"/>
      <w:r w:rsidRPr="00CB09E9">
        <w:rPr>
          <w:rFonts w:ascii="Arial" w:eastAsia="Times New Roman" w:hAnsi="Arial" w:cs="Arial"/>
          <w:color w:val="000000" w:themeColor="text1"/>
          <w:sz w:val="24"/>
          <w:szCs w:val="24"/>
          <w:lang w:eastAsia="ru-RU"/>
        </w:rPr>
        <w:t xml:space="preserve"> поведения подростков и молодежи, проведение марафона здоровья с КДН и ЗП при администрации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реализация общественными молодежными объединениями социально значимых молодежных проектов на муниципальном и областном уровнях, участие в конкурсах по грантовой поддержке молодежных инициатив;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формирование молодежного лидерского потенциала, кадрового резерва новых лидеров, организация конкурсов для одаренной молодежи;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усиление направления гражданско-патриотического воспитания в образовательных учреждениях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реализация комплекса мероприятий (тематических, информационных), направленных на решение основных задач в области патриотического и духовно-нравственного воспитания молодежи, формирования базовых семейных ценностей.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Поддержка молодых семей: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оказание помощи молодым семьям в сохранении и укреплении семейных ценностей, создание условий для повышения и реализации духовного, социально-психологического, творческого потенциала молодых семей.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рост социальной активности молодежи и ее вклада в преобразование 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развитие духовно-нравственных ценностей и гражданско-патриотического самосознания в молодежной среде, увеличение доли молодых людей, мотивированных к службе в Вооруженных Силах Российской Федерации, повышение престижа службы в армии;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увеличение числа молодежи и подростков, которые вовлечены в мероприятия по месту жительства;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увеличение удельного веса молодежи, вовлеченной в различные формы досуга;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преодоление негативных явлений в молодежной среде, сокращение подростковой и молодежной преступности;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увеличение числа участников молодежных объединений;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 увеличение доли подростков и молодежи, приобщенных к здоровому образу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 повышение престижа и роли семьи среди молодежи.</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4.1.5.1.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культуры и молодежной политики</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19"/>
        <w:gridCol w:w="3024"/>
        <w:gridCol w:w="1730"/>
        <w:gridCol w:w="1982"/>
        <w:gridCol w:w="1984"/>
      </w:tblGrid>
      <w:tr w:rsidR="008C7515" w:rsidRPr="008C7515" w:rsidTr="008C7515">
        <w:tc>
          <w:tcPr>
            <w:tcW w:w="33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6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92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0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106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3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6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МБУ ДО "Детская школа искусств" с. Становое</w:t>
            </w:r>
          </w:p>
        </w:tc>
        <w:tc>
          <w:tcPr>
            <w:tcW w:w="92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c>
          <w:tcPr>
            <w:tcW w:w="10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6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300</w:t>
            </w:r>
          </w:p>
        </w:tc>
      </w:tr>
      <w:tr w:rsidR="008C7515" w:rsidRPr="008C7515" w:rsidTr="008C7515">
        <w:tc>
          <w:tcPr>
            <w:tcW w:w="33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6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Дмитриевка</w:t>
            </w:r>
          </w:p>
        </w:tc>
        <w:tc>
          <w:tcPr>
            <w:tcW w:w="92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0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6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w:t>
            </w:r>
          </w:p>
        </w:tc>
      </w:tr>
      <w:tr w:rsidR="008C7515" w:rsidRPr="008C7515" w:rsidTr="008C7515">
        <w:tc>
          <w:tcPr>
            <w:tcW w:w="33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6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Чернолес</w:t>
            </w:r>
            <w:proofErr w:type="spellEnd"/>
            <w:r w:rsidRPr="00CB09E9">
              <w:rPr>
                <w:rFonts w:ascii="Arial" w:eastAsia="Times New Roman" w:hAnsi="Arial" w:cs="Arial"/>
                <w:color w:val="000000" w:themeColor="text1"/>
                <w:sz w:val="24"/>
                <w:szCs w:val="24"/>
                <w:lang w:eastAsia="ru-RU"/>
              </w:rPr>
              <w:t>"</w:t>
            </w:r>
          </w:p>
        </w:tc>
        <w:tc>
          <w:tcPr>
            <w:tcW w:w="92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0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6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r>
      <w:tr w:rsidR="008C7515" w:rsidRPr="008C7515" w:rsidTr="008C7515">
        <w:tc>
          <w:tcPr>
            <w:tcW w:w="33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6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w:t>
            </w:r>
          </w:p>
        </w:tc>
        <w:tc>
          <w:tcPr>
            <w:tcW w:w="92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10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w:t>
            </w:r>
          </w:p>
        </w:tc>
        <w:tc>
          <w:tcPr>
            <w:tcW w:w="106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укрепление материально-технической базы учреждений культуры и дополнительного образования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повышение качества культурного обслуживания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преодоление дефицита кадров в сфере культуры.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4.1.6. Развитие физической культуры и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создание условий, обеспечивающих возможность для граждан округа вести здоровый образ жизни, систематически заниматься физической культурой и спортом.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развитие и содержание материально-технической базы физической культуры и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использование физической культуры и спорта как одного из средств профилактики заболеваний, укрепления здоровья, поддержания высокой работоспособности человека;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финансирование развития физической культуры и спорта за счет местного бюджета и привлечения спонсорских средств;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формирование потребности людей в физическом совершенстве и повышение заинтересованности в собственном здоровье и престиже активного образа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развитие инфраструктуры массового детско-юношеского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1.Формирование потребности людей в физическом совершенстве: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создание действенной системы пропаганды здорового образа жизни, направленной на формирование у населения, особенно у детей и молодежи, интереса и потребности в регулярных занятиях физической культурой и спортом: размещение информации на сайте;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активизация спортивно-массовой и физкультурно-оздоровительной работы по месту жительства;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увеличение числа, регулярно занимающихся физической культурой;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внедрение ВФСК ГТО;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5) обеспечение доступности занятий физической культурой и спортом для различных категорий граждан.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Укрепление материально-технической базы: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строительство и реконструкция действующих спортивных объектов, спортивных площадок;</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оснащение физкультурно-оздоровительных учреждений современным спортивным инвентарем и оборудованием;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развитие школьных спортивных объектов;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развитие системы спортивно-оздоровительного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3.Привлечение частных инвестиций.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оборудование стационарных рекламных мест для социальной рекламы по пропаганде спорта возле спортивных сооружений;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кадровое обеспечение отрасли;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обеспечение необходимых условий для закрепления молодых специалистов, особенно в сельской местности;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стимулирование эффективной работы учителей, специалистов, тренеров по физической культуре и спорту в зависимости от результатов их трудовой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развитие физической культуры и спорта среди лиц с ограниченными физическими возможностями.</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4.1.6.1.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физической культуры и спорта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90"/>
        <w:gridCol w:w="2372"/>
        <w:gridCol w:w="1649"/>
        <w:gridCol w:w="2914"/>
        <w:gridCol w:w="1814"/>
      </w:tblGrid>
      <w:tr w:rsidR="008C7515" w:rsidRPr="008C7515" w:rsidTr="008C7515">
        <w:tc>
          <w:tcPr>
            <w:tcW w:w="3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2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56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97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2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Установка хоккейной коробки д. </w:t>
            </w:r>
            <w:proofErr w:type="spellStart"/>
            <w:r w:rsidRPr="00CB09E9">
              <w:rPr>
                <w:rFonts w:ascii="Arial" w:eastAsia="Times New Roman" w:hAnsi="Arial" w:cs="Arial"/>
                <w:color w:val="000000" w:themeColor="text1"/>
                <w:sz w:val="24"/>
                <w:szCs w:val="24"/>
                <w:lang w:eastAsia="ru-RU"/>
              </w:rPr>
              <w:t>Целыковка</w:t>
            </w:r>
            <w:proofErr w:type="spellEnd"/>
          </w:p>
        </w:tc>
        <w:tc>
          <w:tcPr>
            <w:tcW w:w="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56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 бюджет округа, внебюджетные средства</w:t>
            </w:r>
          </w:p>
        </w:tc>
        <w:tc>
          <w:tcPr>
            <w:tcW w:w="97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r>
      <w:tr w:rsidR="008C7515" w:rsidRPr="008C7515" w:rsidTr="008C7515">
        <w:tc>
          <w:tcPr>
            <w:tcW w:w="3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2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МБОУ ДО ДЮСШ "Дельфин"</w:t>
            </w:r>
          </w:p>
        </w:tc>
        <w:tc>
          <w:tcPr>
            <w:tcW w:w="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56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7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150</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доли населения систематически занимающегося физической культурой и спортом до 70 %</w:t>
      </w:r>
      <w:r w:rsidRPr="00CB09E9">
        <w:rPr>
          <w:rFonts w:ascii="Arial" w:eastAsia="Times New Roman" w:hAnsi="Arial" w:cs="Arial"/>
          <w:color w:val="000000" w:themeColor="text1"/>
          <w:spacing w:val="2"/>
          <w:sz w:val="24"/>
          <w:szCs w:val="24"/>
          <w:lang w:eastAsia="ru-RU"/>
        </w:rPr>
        <w:t xml:space="preserve"> от всего населения к 2030 г.</w:t>
      </w:r>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повышение эффективности деятельности организаций физической культуры и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рост популярности систематических занятий физической культурой и спортом среди жителей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повышение доступности учреждений физической культуры и спорта для лиц с ограниченными возможностями здоровья;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укрепление здоровья населения, снижение заболеваемости;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увеличение доли населения, выполнивших нормативы ВФСК ГТО, в общей численности населения, принявшего участие в выполнении нормативов комплекса ГТО, до 65%;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 увеличение доступности услуг физической культуры и спорта, в том числе создание и развитие инфраструктуры для занятий массовыми видами спорта.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lastRenderedPageBreak/>
        <w:t>4.2. Второе стратегическое направление: создание условий приоритетного развития динамичной экономики и успешного предпринимательства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4.2.1. Агропромышленный комплекс</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создание высокотехнологичного агропромышленного комплекса, обеспечивающего население качественной и экологически чистой продукции.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увеличение объемов производства и повышение конкурентоспособности сельскохозяйственной продукции, выпускаемой в Становлянском округе в целях активного импортозамещения в агропромышленном комплексе;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обеспечение финансовой устойчивости товаропроизводителей агропромышленного комплекса;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воспроизводство и повышение эффективности использования ресурсного потенциала в сельском хозяйстве;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обеспечение агропромышленного комплекса квалифицированными кадрами и современной техникой.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Становлянский округ имеет благоприятные условия для развития агропромышленного комплекса.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увеличение производства зерна, его переработки, мясного и молочного скотоводства, внедрение интенсивных методов производства;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постепенное повышения рентабельности сельскохозяйственного производства на основе технико-технологической модернизации производства и создания новых эффективных производств;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рост объемов производства продукции растениеводства и животноводства, на основе увеличения урожайности сельскохозяйственных культур, продуктивности животноводства и создания соответствующей кормовой базы;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создание условий для повышения конкурентоспособности произведенной продукции агропромышленного комплекса;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обеспечение населения качественными продуктами;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участие сельскохозяйственных товаропроизводителей в федеральных и областных программах.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Повышение конкурентоспособности означает снижение издержек и повышение качества продукции агропродовольственного комплекса при поддержании уровня рентабельности, обеспечивающего инвестиции для расширенного воспроизводства.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объема производства продукции сельского хозяйства на душу населения на 1,1% по сравнению с 2017 годом;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продвижение продукции организаций Становлянского округа АПК;</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ускоренное развитие агропромышленного комплекса, определяющего высокие требования к качеству социальной среды в сельской местности.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4.2.2. Экономическое развитие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Стратегическая цель - обеспечение благоприятных условий, способствующих развитию малого и среднего предпринимательства, самозанятости на территории округа, а также условий, обеспечивающих устойчивый рост количества субъектов малого и среднего предпринимательства с целью улучшения экономических и </w:t>
      </w:r>
      <w:r w:rsidRPr="00CB09E9">
        <w:rPr>
          <w:rFonts w:ascii="Arial" w:eastAsia="Times New Roman" w:hAnsi="Arial" w:cs="Arial"/>
          <w:color w:val="000000" w:themeColor="text1"/>
          <w:sz w:val="24"/>
          <w:szCs w:val="24"/>
          <w:lang w:eastAsia="ru-RU"/>
        </w:rPr>
        <w:lastRenderedPageBreak/>
        <w:t>социальных показателей округа, обеспечивающих дальнейшее развитие сферы производства товаров и услуг, рост налоговых поступлений в бюджет Становлянского округа, появление дополнительных рабочих мест и обеспечение занятости населения, формирование добросовестной конкуренции, как основы улучшения качества жизни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экономического потенциала в округе подразумевает дальнейшее совершенствование существующих механизмов и реализации новых направлений муниципальной поддержки, укрепление местного рынка товаров и услуг.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рост числа субъектов малого и среднего предпринимательства (далее - СМСП) и "самозанятых" граждан;</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поддержка субъектов малого и среднего предпринимательств, физических лиц, применяющих специальный налоговый режим, в том числе: финансовая, информационная, консультационная, имущественная;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обеспечение доступа СМСП к различным источникам финансирования, взаимодействие с бизнес-куратором;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вовлечение в имущественную поддержку земельных участков, государственная собственность на которые не разграничена, в том числе из земель сельскохозяйственного назначения, а также выявления бесхозяйных объектов, находящихся на территории Становлянского округа и признание права собственности на них;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содействие организации новых предприятий по производству товаров, выполнению работ и оказанию услуг;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создание условий для организации новых производств на свободных земельных участках;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стимулирование самозанятости и предпринимательской активности на территории;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повышение скорости обработки запросов предпринимателей на открытие нового бизнеса;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привлечение субъектов малого и среднего предпринимательства к поставкам товаров, выполнению работ и оказанию услуг для муниципальных нужд;</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предоставление сельхозпроизводителям бесплатно торговых мест на ярмарках округа для реализации собственной продукции;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 организация торговой деятельности с использованием нестационарных и мобильных торговых объектов;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 защита прав потребителей.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доли работающих в субъектах МСП;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увеличение оборота по субъектам МСП;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увеличение доли и количества субъектов МСП;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повышение доступности финансовой и имущественной поддержки МСП;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формирование в Становлянском округе активного бизнес-сообщества;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сокращение доли неформального сектора экономики, в том числе за счет увеличения количества самозанятых.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4.2.3. Инвестиционное развитие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улучшение инвестиционного климата в Становлянском округе, обеспечивающее создание новых рабочих мест, достижение на этой основе устойчивого социально-экономического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задачи: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 Создание благоприятной среды для привлечения инвестиций и инноваций в экономику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Совершенствование инфраструктуры и механизмов муниципальной поддержки инвестиционной и инновационной деятельности.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Содействие развитию малого бизнеса.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Становлянском округе создаются условия для привлечения инвестиций и обеспечения эффективного использования имеющегося потенциала, способствующие устойчивому социально-экономическому развитию. Внедряются механизмы муниципального инвестиционного стандарта деятельности органов местного самоуправления, в том числе: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разработан инвестиционный профиль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сформирован раздел в сфере инвестиционной деятельности на официальном сайте муниципального образования в сети "Интернет";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создан координационный совет по инвестиционной деятельности при главе администрации 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определен Инвестиционный муниципальный уполномоченный в лице заместителя главы администрации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разработан и утвержден Регламент по сопровождению инвестиционных проектов на территории Становлянского округа по принципу "одного окна".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Приоритетными направлениями развития на территории Становлянского округа являются производство и переработка готовой продукции, развития малого и среднего бизнеса в сфере производства и услуг; аграрное хозяйство, развитие зон отдыха и туризма; развитие логистической и придорожной инфраструктуры, инновации.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Повышение инвестиционной привлекательности Становлянского округа планируется за счет реализации следующих мероприятий: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оказание содействия инициаторам в реализации проектов в соответствии со стратегическими направлениями развития округа в приоритетных отраслях экономики (агропромышленный комплекс, в том числе развитие животноводства, производственный комплекс, логистический комплекс, туризм);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информирования потенциальных инвесторов о наличии на территории округа земельных участков и имущественного комплекса для размещения инвестиционных площадок, актуализация информации на основе ежегодного аудита территории и инвестиционного зонирования;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сопровождения проектов, предоставления консультационной, организационной, финансовой и иной системной поддержки на основе индивидуального подхода и максимальной заинтересованности в решении вопросов реализации инвестиционных проектов на всех стадиях;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сокращение сроков оказания муниципальных услуг, предоставляемых инвесторам, в соответствии с федеральным законодательством, в том числе с мая 2025 года планируется сократить срок предоставления услуги "Перевод жилого помещения в нежилое помещение и нежилого помещения в жилое помещение" с 45 календарных дней до 13 рабочих дней в рамках реализации сервиса № 83 "Сервис обеспечения деятельности по лицензированию управляющих компаний, жилищных инспекций, согласования перепланировок" на Единой цифровой платформе Российской Федерации "</w:t>
      </w:r>
      <w:proofErr w:type="spellStart"/>
      <w:r w:rsidRPr="00CB09E9">
        <w:rPr>
          <w:rFonts w:ascii="Arial" w:eastAsia="Times New Roman" w:hAnsi="Arial" w:cs="Arial"/>
          <w:color w:val="000000" w:themeColor="text1"/>
          <w:sz w:val="24"/>
          <w:szCs w:val="24"/>
          <w:lang w:eastAsia="ru-RU"/>
        </w:rPr>
        <w:t>ГосТех</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реализация проектов на принципах государственно-частного партнерства, концессионных соглашений, в том числе направленных на создание транспортной, жилищно-коммунальной инфраструктуры, объектов социальной сферы, а также в иных отраслях, установленных законодательством.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Проекты, реализуемые и планируемые к реализации на период до 2030 года, указаны в приложении к настоящей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повышение инвестиционной привлекательности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увеличение объема инвестиций в основной капитал без учета бюджетных средств;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рост объема инвестиций в основной капитал в расчете на душу населения не менее чем в 2 раза;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создание новых рабочих мест, снижение уровня безработицы.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4.2.4. Туризм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эффективное использование историко-культурных и природно-рекреационных ресурсов, развитие новых актуальных видов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развития туризма важными направлениями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привлечение инвесторов с целью создания туристических объектов.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создание сети общественного питания, размещения и обслуживания различных категорий приезжающих;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модернизация существующих туристических объектов, благоустройство и развитие зон отдыха;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благоустройство существующих исторических и культурных мест.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Развитие туризма на территории Становлянского округа является стратегическим направлением социально-экономического развития муниципалитета и будет способствовать повышению качества жизни населения. Туристские объекты Становлянского округа обладают значительной привлекательностью и </w:t>
      </w:r>
      <w:proofErr w:type="spellStart"/>
      <w:r w:rsidRPr="00CB09E9">
        <w:rPr>
          <w:rFonts w:ascii="Arial" w:eastAsia="Times New Roman" w:hAnsi="Arial" w:cs="Arial"/>
          <w:color w:val="000000" w:themeColor="text1"/>
          <w:sz w:val="24"/>
          <w:szCs w:val="24"/>
          <w:lang w:eastAsia="ru-RU"/>
        </w:rPr>
        <w:t>аттрактивностью</w:t>
      </w:r>
      <w:proofErr w:type="spellEnd"/>
      <w:r w:rsidRPr="00CB09E9">
        <w:rPr>
          <w:rFonts w:ascii="Arial" w:eastAsia="Times New Roman" w:hAnsi="Arial" w:cs="Arial"/>
          <w:color w:val="000000" w:themeColor="text1"/>
          <w:sz w:val="24"/>
          <w:szCs w:val="24"/>
          <w:lang w:eastAsia="ru-RU"/>
        </w:rPr>
        <w:t>, имеют высокий туристический потенциал.</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Реализация ряда мероприятий будет способствовать институциональному развитию и повышению конкурентоспособности туристической отрасли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Повышение инвестиционной активности в сфере туризма на основе системы мер поддержки проектов в сфере туризма, в том числе грантовой поддержки отдельных проектов на конкурсной основе. Реализация крупных туристских проектов при поддержке государства и региона позволит привлечь инвестиции и способствовать увеличению доли туризма в ВРП.</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Стимулирование активности малого и микро-бизнеса, самозанятости. Повышение инвестиционной активности возможно путём реализации проектов в рамках федеральных и региональных программ поддержки малого и среднего предпринимательства в сфере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В сфере туризма занято относительно небольшое число работоспособного населения (&lt;1,5%). Увеличение числа занятых в сфере туризма возможно за счёт популяризации туризма как сферы бизнес-активности и самозанятости. Получение актуальной кадровой потребности и ее учета в регионе, в том числе в Становлянском округе, будет возможно при использовании региональной автоматизированной информационной системы "Мониторинг и прогнозирование кадровой потребности Липецкой области". Это позволит улучшить систему подготовки и профессиональной переподготовки, обеспечить высокий уровень компетенций кадров и повысить конкурентоспособность на рынке туризма за счёт улучшения качества обслуживания.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4. Кластерный подход в развитии туризма может сделать округ одним из флагманов туризма в Липецкой области. Формирование туристского </w:t>
      </w:r>
      <w:proofErr w:type="spellStart"/>
      <w:r w:rsidRPr="00CB09E9">
        <w:rPr>
          <w:rFonts w:ascii="Arial" w:eastAsia="Times New Roman" w:hAnsi="Arial" w:cs="Arial"/>
          <w:color w:val="000000" w:themeColor="text1"/>
          <w:sz w:val="24"/>
          <w:szCs w:val="24"/>
          <w:lang w:eastAsia="ru-RU"/>
        </w:rPr>
        <w:t>субкластера</w:t>
      </w:r>
      <w:proofErr w:type="spellEnd"/>
      <w:r w:rsidRPr="00CB09E9">
        <w:rPr>
          <w:rFonts w:ascii="Arial" w:eastAsia="Times New Roman" w:hAnsi="Arial" w:cs="Arial"/>
          <w:color w:val="000000" w:themeColor="text1"/>
          <w:sz w:val="24"/>
          <w:szCs w:val="24"/>
          <w:lang w:eastAsia="ru-RU"/>
        </w:rPr>
        <w:t xml:space="preserve"> "Сад у дороги", как часть регионального кластера туризма, позволит развивать </w:t>
      </w:r>
      <w:r w:rsidRPr="00CB09E9">
        <w:rPr>
          <w:rFonts w:ascii="Arial" w:eastAsia="Times New Roman" w:hAnsi="Arial" w:cs="Arial"/>
          <w:color w:val="000000" w:themeColor="text1"/>
          <w:sz w:val="24"/>
          <w:szCs w:val="24"/>
          <w:lang w:eastAsia="ru-RU"/>
        </w:rPr>
        <w:lastRenderedPageBreak/>
        <w:t>агротуризм, экологический, гастрономический, культурно-познавательный, событийный и нишевые виды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5. Развитие кооперации в сфере туризма. Формирование горизонтальных связей, с целью развития туризма как внутри округа, так и с соседними муниципальными образованиями (город Елец, Елецкий район, Задонский район, </w:t>
      </w:r>
      <w:proofErr w:type="spellStart"/>
      <w:r w:rsidRPr="00CB09E9">
        <w:rPr>
          <w:rFonts w:ascii="Arial" w:eastAsia="Times New Roman" w:hAnsi="Arial" w:cs="Arial"/>
          <w:color w:val="000000" w:themeColor="text1"/>
          <w:sz w:val="24"/>
          <w:szCs w:val="24"/>
          <w:lang w:eastAsia="ru-RU"/>
        </w:rPr>
        <w:t>Ефремовский</w:t>
      </w:r>
      <w:proofErr w:type="spellEnd"/>
      <w:r w:rsidRPr="00CB09E9">
        <w:rPr>
          <w:rFonts w:ascii="Arial" w:eastAsia="Times New Roman" w:hAnsi="Arial" w:cs="Arial"/>
          <w:color w:val="000000" w:themeColor="text1"/>
          <w:sz w:val="24"/>
          <w:szCs w:val="24"/>
          <w:lang w:eastAsia="ru-RU"/>
        </w:rPr>
        <w:t xml:space="preserve"> район Тульской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Участие в туристическом маршруте Липецкой области в рамках программ путешествий для детей и молодёжи. Липецкая область вошла в число пилотных регионов-участников международной программы "Классная страна". В туристический маршрут может войти усадьба Стаховичей, расположенная в с. Пальна-Михайловка Становлянского округа. Реализация проекта позволит дать толчок в развитии образовательного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Привлечение в сферу туризма "нетуристских" предприятий, для которых туризм может рассматриваться как перспективное направление развития, например путем участия в консультациях сельхозпроизводителей, желающих заниматься развитием сельского туризма, ОБУ "Центр компетенций АПК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8. Перспективы сферы туризма в округе связаны с повышением её </w:t>
      </w:r>
      <w:proofErr w:type="spellStart"/>
      <w:r w:rsidRPr="00CB09E9">
        <w:rPr>
          <w:rFonts w:ascii="Arial" w:eastAsia="Times New Roman" w:hAnsi="Arial" w:cs="Arial"/>
          <w:color w:val="000000" w:themeColor="text1"/>
          <w:sz w:val="24"/>
          <w:szCs w:val="24"/>
          <w:lang w:eastAsia="ru-RU"/>
        </w:rPr>
        <w:t>наукоёмкости</w:t>
      </w:r>
      <w:proofErr w:type="spellEnd"/>
      <w:r w:rsidRPr="00CB09E9">
        <w:rPr>
          <w:rFonts w:ascii="Arial" w:eastAsia="Times New Roman" w:hAnsi="Arial" w:cs="Arial"/>
          <w:color w:val="000000" w:themeColor="text1"/>
          <w:sz w:val="24"/>
          <w:szCs w:val="24"/>
          <w:lang w:eastAsia="ru-RU"/>
        </w:rPr>
        <w:t xml:space="preserve">, </w:t>
      </w:r>
      <w:proofErr w:type="spellStart"/>
      <w:r w:rsidRPr="00CB09E9">
        <w:rPr>
          <w:rFonts w:ascii="Arial" w:eastAsia="Times New Roman" w:hAnsi="Arial" w:cs="Arial"/>
          <w:color w:val="000000" w:themeColor="text1"/>
          <w:sz w:val="24"/>
          <w:szCs w:val="24"/>
          <w:lang w:eastAsia="ru-RU"/>
        </w:rPr>
        <w:t>цифровизацией</w:t>
      </w:r>
      <w:proofErr w:type="spellEnd"/>
      <w:r w:rsidRPr="00CB09E9">
        <w:rPr>
          <w:rFonts w:ascii="Arial" w:eastAsia="Times New Roman" w:hAnsi="Arial" w:cs="Arial"/>
          <w:color w:val="000000" w:themeColor="text1"/>
          <w:sz w:val="24"/>
          <w:szCs w:val="24"/>
          <w:lang w:eastAsia="ru-RU"/>
        </w:rPr>
        <w:t xml:space="preserve">, развитием туристских </w:t>
      </w:r>
      <w:proofErr w:type="spellStart"/>
      <w:r w:rsidRPr="00CB09E9">
        <w:rPr>
          <w:rFonts w:ascii="Arial" w:eastAsia="Times New Roman" w:hAnsi="Arial" w:cs="Arial"/>
          <w:color w:val="000000" w:themeColor="text1"/>
          <w:sz w:val="24"/>
          <w:szCs w:val="24"/>
          <w:lang w:eastAsia="ru-RU"/>
        </w:rPr>
        <w:t>маркет-плейсов</w:t>
      </w:r>
      <w:proofErr w:type="spellEnd"/>
      <w:r w:rsidRPr="00CB09E9">
        <w:rPr>
          <w:rFonts w:ascii="Arial" w:eastAsia="Times New Roman" w:hAnsi="Arial" w:cs="Arial"/>
          <w:color w:val="000000" w:themeColor="text1"/>
          <w:sz w:val="24"/>
          <w:szCs w:val="24"/>
          <w:lang w:eastAsia="ru-RU"/>
        </w:rPr>
        <w:t>, использование платформенных решений. Реклама туристического продукта путем продвижения в средствах массовой информации и интернет-ресурсах являться одним из ключевых рычагов развития туристической сферы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Увеличение туристского потока за счёт активизации сотрудничества с Региональными институтами развития туризма (Центр туризма Липецкая земля, Ассоциация туристской индустрии Липецкой области и другие), а также взаимодействия с организаторами туризма (туристские порталы, туроператоры). Важным инструментом развития является взаимодействия администрации Становлянского округа с ЕГУ им. И.А. Бунина как научно-аналитического и экспертного центра по развитию туризма в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Наличие структуры, аккумулирующей информацию о состоянии туризма в округе - муниципального бюджетного учреждения культуры "Координационно-методический центр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 Создание на базе некоторых сельских Домов культуры культурно-туристских центров, которые могли бы осуществлять анимационный сервис для туристов и отдыхающих, обеспечивать проведение мероприятий для событийного туризма (историко-культурные праздники, ярмарки, народные гуляния), что приведет к творческому росту самодеятельных коллективов и повышению качества жизни местного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 Развитие безопасной и доступной туристской среды в Становлянском округе. Природно-экологический каркас территории позволяет развивать туристский сектор на основе разнообразной рекреационной деятельности. Высокий уровень развития транспортной инфраструктуры формирует туристскую логистику, обеспечивающую круглогодичный транзитный поток и устойчивые связи с регионами-поставщиками туристов, что является серьёзным конкурентным преимуществом. Особое внимание при этом необходимо уделять требованиям экологической безопасности и принципам устойчивого развития природных комплексов.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 Повышение узнаваемости и уникальности туристского продукта Становлянского округа. Рост туристского потока возможно за счёт диверсификации, производства и эффективной системы продвижения уникального локального туристского продукта, туристического бренда на основе сегментации туристского рынка. Продвижение бренда "Липецкая земля".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14. Формирование новых туристских продуктов и видов предоставляемых услуг в рамках различных видов туризма, стимулирование спроса на товары и дополнительные услуги. Разработка конкурентоспособных туристских маршрутов, включающих объекты культурного наследия, маршрутов автотуризма, пешеходных, велосипедных маршрутов и включение их в региональные маршруты. Участие в развитии регионального туристического маршрута "Усадебное кольцо".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Перспективными потенциальными местами для развития туризма будут Усадьба Стаховичей (с. Пальна-Михайловка), Дом-музей И.А. Бунина (д. Озерки), место усадьбы Ю.М. Лермонтова (д. </w:t>
      </w:r>
      <w:proofErr w:type="spellStart"/>
      <w:r w:rsidRPr="00CB09E9">
        <w:rPr>
          <w:rFonts w:ascii="Arial" w:eastAsia="Times New Roman" w:hAnsi="Arial" w:cs="Arial"/>
          <w:color w:val="000000" w:themeColor="text1"/>
          <w:sz w:val="24"/>
          <w:szCs w:val="24"/>
          <w:lang w:eastAsia="ru-RU"/>
        </w:rPr>
        <w:t>Кропотово</w:t>
      </w:r>
      <w:proofErr w:type="spellEnd"/>
      <w:r w:rsidRPr="00CB09E9">
        <w:rPr>
          <w:rFonts w:ascii="Arial" w:eastAsia="Times New Roman" w:hAnsi="Arial" w:cs="Arial"/>
          <w:color w:val="000000" w:themeColor="text1"/>
          <w:sz w:val="24"/>
          <w:szCs w:val="24"/>
          <w:lang w:eastAsia="ru-RU"/>
        </w:rPr>
        <w:t xml:space="preserve"> - </w:t>
      </w:r>
      <w:proofErr w:type="spellStart"/>
      <w:r w:rsidRPr="00CB09E9">
        <w:rPr>
          <w:rFonts w:ascii="Arial" w:eastAsia="Times New Roman" w:hAnsi="Arial" w:cs="Arial"/>
          <w:color w:val="000000" w:themeColor="text1"/>
          <w:sz w:val="24"/>
          <w:szCs w:val="24"/>
          <w:lang w:eastAsia="ru-RU"/>
        </w:rPr>
        <w:t>Лермонтово</w:t>
      </w:r>
      <w:proofErr w:type="spellEnd"/>
      <w:r w:rsidRPr="00CB09E9">
        <w:rPr>
          <w:rFonts w:ascii="Arial" w:eastAsia="Times New Roman" w:hAnsi="Arial" w:cs="Arial"/>
          <w:color w:val="000000" w:themeColor="text1"/>
          <w:sz w:val="24"/>
          <w:szCs w:val="24"/>
          <w:lang w:eastAsia="ru-RU"/>
        </w:rPr>
        <w:t xml:space="preserve">), родина М.М. Пришвина (с. </w:t>
      </w:r>
      <w:proofErr w:type="spellStart"/>
      <w:r w:rsidRPr="00CB09E9">
        <w:rPr>
          <w:rFonts w:ascii="Arial" w:eastAsia="Times New Roman" w:hAnsi="Arial" w:cs="Arial"/>
          <w:color w:val="000000" w:themeColor="text1"/>
          <w:sz w:val="24"/>
          <w:szCs w:val="24"/>
          <w:lang w:eastAsia="ru-RU"/>
        </w:rPr>
        <w:t>Хрущево-Левшино</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раскрытие потенциала округа для населения и туристов;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создание качественных туристических продуктов;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развитие туристической инфраструктур, обеспечивающее рост инвестиций;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увеличение туристического потока.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 Третье стратегическое направление: инфраструктура для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4.3.1. Жилищно-коммунальное хозяйство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создание условий для обеспечения безопасного и комфортного проживания граждан и предоставление качественных жилищно-коммунальных услуг, развитие газификации Становлянского округа, модернизация объектов коммунальной инфраструктуры и их содержание.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целях системного развития жилищно-коммунальной инфраструктуры в округе, снижения уровня износа объектов жилищно-коммунального хозяйства, планируется проведение комплекса мероприятий, предусматривающих: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участие в региональной программе по капитальному ремонту;</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реконструкция существующих котельных с переводом их на использование природного газа в качестве основного вида топлива для решения проблем теплоснабжения населенных пунктов территориальных отделов;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внедрение современного энергосберегающего оборудования для сокращения потребления энергоресурсов;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повышение качества питьевой воды путем замены ветхих водопроводных сетей;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разработку схем и техническое обследование сетей водоснабжения и водоотведения для определение долгосрочной перспективы развития системы водоснабжения и водоотведения, обеспечения надежного водоснабжения и водоотведения наиболее экономичным способом при минимальном воздействии на окружающую среду, а также экономичного стимулирования развития систем водоснабжения и водоотведения и внедрения энергосберегающих технологий.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реконструкция систем централизованного теплоснабжения, путем заключения концессионного соглашения, что позволит привлечь частные инвестиции в сферу теплоснабжения в сумме 16,9 млн. руб. и обеспечить надежное и качественное теплоснабжение потребителей тепловой энергии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Основным направлением развития системы водоснабжения Становлянского округа является сохранение существующей системы, с проведением работ по модернизации водозаборных сооружений и насосных станций, а также с поэтапной заменой изношенных участков сетей водоснабжения.</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жилищно-коммунальной инфраструктуры</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90"/>
        <w:gridCol w:w="3268"/>
        <w:gridCol w:w="1519"/>
        <w:gridCol w:w="2428"/>
        <w:gridCol w:w="1634"/>
      </w:tblGrid>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по ул. Елецкая с. Березовка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2,55</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пер. Школьный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 xml:space="preserve">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ул. Центральная с. </w:t>
            </w:r>
            <w:proofErr w:type="spellStart"/>
            <w:r w:rsidRPr="00CB09E9">
              <w:rPr>
                <w:rFonts w:ascii="Arial" w:eastAsia="Times New Roman" w:hAnsi="Arial" w:cs="Arial"/>
                <w:color w:val="000000" w:themeColor="text1"/>
                <w:sz w:val="24"/>
                <w:szCs w:val="24"/>
                <w:lang w:eastAsia="ru-RU"/>
              </w:rPr>
              <w:t>Кириллово</w:t>
            </w:r>
            <w:proofErr w:type="spellEnd"/>
            <w:r w:rsidRPr="00CB09E9">
              <w:rPr>
                <w:rFonts w:ascii="Arial" w:eastAsia="Times New Roman" w:hAnsi="Arial" w:cs="Arial"/>
                <w:color w:val="000000" w:themeColor="text1"/>
                <w:sz w:val="24"/>
                <w:szCs w:val="24"/>
                <w:lang w:eastAsia="ru-RU"/>
              </w:rPr>
              <w:t xml:space="preserve">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Разведочно-эксплуатационная скважина с. </w:t>
            </w:r>
            <w:proofErr w:type="spellStart"/>
            <w:r w:rsidRPr="00CB09E9">
              <w:rPr>
                <w:rFonts w:ascii="Arial" w:eastAsia="Times New Roman" w:hAnsi="Arial" w:cs="Arial"/>
                <w:color w:val="000000" w:themeColor="text1"/>
                <w:sz w:val="24"/>
                <w:szCs w:val="24"/>
                <w:lang w:eastAsia="ru-RU"/>
              </w:rPr>
              <w:t>Кличено</w:t>
            </w:r>
            <w:proofErr w:type="spellEnd"/>
            <w:r w:rsidRPr="00CB09E9">
              <w:rPr>
                <w:rFonts w:ascii="Arial" w:eastAsia="Times New Roman" w:hAnsi="Arial" w:cs="Arial"/>
                <w:color w:val="000000" w:themeColor="text1"/>
                <w:sz w:val="24"/>
                <w:szCs w:val="24"/>
                <w:lang w:eastAsia="ru-RU"/>
              </w:rPr>
              <w:t xml:space="preserve">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2024 - 2025 годы</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12,1</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водопровода от д. Вишневая до д. </w:t>
            </w:r>
            <w:proofErr w:type="spellStart"/>
            <w:r w:rsidRPr="00CB09E9">
              <w:rPr>
                <w:rFonts w:ascii="Arial" w:eastAsia="Times New Roman" w:hAnsi="Arial" w:cs="Arial"/>
                <w:color w:val="000000" w:themeColor="text1"/>
                <w:sz w:val="24"/>
                <w:szCs w:val="24"/>
                <w:lang w:eastAsia="ru-RU"/>
              </w:rPr>
              <w:t>Шевяковка</w:t>
            </w:r>
            <w:proofErr w:type="spellEnd"/>
            <w:r w:rsidRPr="00CB09E9">
              <w:rPr>
                <w:rFonts w:ascii="Arial" w:eastAsia="Times New Roman" w:hAnsi="Arial" w:cs="Arial"/>
                <w:color w:val="000000" w:themeColor="text1"/>
                <w:sz w:val="24"/>
                <w:szCs w:val="24"/>
                <w:lang w:eastAsia="ru-RU"/>
              </w:rPr>
              <w:t xml:space="preserve">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ул. Механизаторов с. Телегино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Разведочно-эксплуатационная скважина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сети водоснабжения ул. Центральная с. </w:t>
            </w:r>
            <w:proofErr w:type="spellStart"/>
            <w:r w:rsidRPr="00CB09E9">
              <w:rPr>
                <w:rFonts w:ascii="Arial" w:eastAsia="Times New Roman" w:hAnsi="Arial" w:cs="Arial"/>
                <w:color w:val="000000" w:themeColor="text1"/>
                <w:sz w:val="24"/>
                <w:szCs w:val="24"/>
                <w:lang w:eastAsia="ru-RU"/>
              </w:rPr>
              <w:t>Тростное</w:t>
            </w:r>
            <w:proofErr w:type="spellEnd"/>
            <w:r w:rsidRPr="00CB09E9">
              <w:rPr>
                <w:rFonts w:ascii="Arial" w:eastAsia="Times New Roman" w:hAnsi="Arial" w:cs="Arial"/>
                <w:color w:val="000000" w:themeColor="text1"/>
                <w:sz w:val="24"/>
                <w:szCs w:val="24"/>
                <w:lang w:eastAsia="ru-RU"/>
              </w:rPr>
              <w:t xml:space="preserve">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9</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водоснабжения ул. 50 лет Победы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0,6</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ул. 50 лет Победы с. Становое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0,6</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ул. Карабанова п. Широкий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водоснабжения ул. Становлянская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0,5</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ул. Луговая, ул. Трудовая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0,6</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ул. Майская с. Успенка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ул. 9 Мая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0,8</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водоснабжения ул. Заречная с. Дмитриевка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0,9</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водоснабжения ул. Мичурина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0,8</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18</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сети водоснабжения ул. 50 лет Октября с. Становое Становлянского округа (разработка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0,6</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ул. Елецкая с. Березовка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33,7</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пер. Школьный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 xml:space="preserve">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24,3</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д. Покровское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Замена участка водопроводной сети д. </w:t>
            </w:r>
            <w:proofErr w:type="spellStart"/>
            <w:r w:rsidRPr="00CB09E9">
              <w:rPr>
                <w:rFonts w:ascii="Arial" w:eastAsia="Times New Roman" w:hAnsi="Arial" w:cs="Arial"/>
                <w:color w:val="000000" w:themeColor="text1"/>
                <w:sz w:val="24"/>
                <w:szCs w:val="24"/>
                <w:lang w:eastAsia="ru-RU"/>
              </w:rPr>
              <w:t>Арсентьево</w:t>
            </w:r>
            <w:proofErr w:type="spellEnd"/>
            <w:r w:rsidRPr="00CB09E9">
              <w:rPr>
                <w:rFonts w:ascii="Arial" w:eastAsia="Times New Roman" w:hAnsi="Arial" w:cs="Arial"/>
                <w:color w:val="000000" w:themeColor="text1"/>
                <w:sz w:val="24"/>
                <w:szCs w:val="24"/>
                <w:lang w:eastAsia="ru-RU"/>
              </w:rPr>
              <w:t xml:space="preserve">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водоснабжения ул. Центральная с. </w:t>
            </w:r>
            <w:proofErr w:type="spellStart"/>
            <w:r w:rsidRPr="00CB09E9">
              <w:rPr>
                <w:rFonts w:ascii="Arial" w:eastAsia="Times New Roman" w:hAnsi="Arial" w:cs="Arial"/>
                <w:color w:val="000000" w:themeColor="text1"/>
                <w:sz w:val="24"/>
                <w:szCs w:val="24"/>
                <w:lang w:eastAsia="ru-RU"/>
              </w:rPr>
              <w:t>Кириллово</w:t>
            </w:r>
            <w:proofErr w:type="spellEnd"/>
            <w:r w:rsidRPr="00CB09E9">
              <w:rPr>
                <w:rFonts w:ascii="Arial" w:eastAsia="Times New Roman" w:hAnsi="Arial" w:cs="Arial"/>
                <w:color w:val="000000" w:themeColor="text1"/>
                <w:sz w:val="24"/>
                <w:szCs w:val="24"/>
                <w:lang w:eastAsia="ru-RU"/>
              </w:rPr>
              <w:t xml:space="preserve"> Становлянского округа</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 год</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Модернизация источников централизованного водоснабжения (замена насосного оборудования, установка </w:t>
            </w:r>
            <w:proofErr w:type="spellStart"/>
            <w:r w:rsidRPr="00CB09E9">
              <w:rPr>
                <w:rFonts w:ascii="Arial" w:eastAsia="Times New Roman" w:hAnsi="Arial" w:cs="Arial"/>
                <w:color w:val="000000" w:themeColor="text1"/>
                <w:sz w:val="24"/>
                <w:szCs w:val="24"/>
                <w:lang w:eastAsia="ru-RU"/>
              </w:rPr>
              <w:t>КИПиА</w:t>
            </w:r>
            <w:proofErr w:type="spellEnd"/>
            <w:r w:rsidRPr="00CB09E9">
              <w:rPr>
                <w:rFonts w:ascii="Arial" w:eastAsia="Times New Roman" w:hAnsi="Arial" w:cs="Arial"/>
                <w:color w:val="000000" w:themeColor="text1"/>
                <w:sz w:val="24"/>
                <w:szCs w:val="24"/>
                <w:lang w:eastAsia="ru-RU"/>
              </w:rPr>
              <w:t>, организация ЗСО)</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2028 - 2040 годы</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36,7</w:t>
            </w:r>
          </w:p>
        </w:tc>
      </w:tr>
      <w:tr w:rsidR="008C7515" w:rsidRPr="008C7515" w:rsidTr="008C7515">
        <w:tc>
          <w:tcPr>
            <w:tcW w:w="2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174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Поэтапная замена изношенных сетей водоснабжения Становлянского округа с разработкой ПСД</w:t>
            </w:r>
          </w:p>
        </w:tc>
        <w:tc>
          <w:tcPr>
            <w:tcW w:w="81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2024 - 2030 годы</w:t>
            </w:r>
          </w:p>
        </w:tc>
        <w:tc>
          <w:tcPr>
            <w:tcW w:w="130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87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158,8</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Выполнение данных мероприятий позволит гарантировать устойчивую, надежную работу систем водоснабжения и получить качественную питьевую воду в количестве, необходимом для обеспечения жителей.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газификации: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Основная цель развития газификации Становлянского округа - улучшение социально-экономических условий жизни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Задачи, поставленные на достижение данной цели: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строительство газопроводов низкого давления на территории населенных пунктов с целью газификации жилищного фонда и удовлетворения потребностей населения округа в природном газе;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pacing w:val="-2"/>
          <w:sz w:val="24"/>
          <w:szCs w:val="24"/>
          <w:lang w:eastAsia="ru-RU"/>
        </w:rPr>
        <w:t xml:space="preserve">2) </w:t>
      </w:r>
      <w:r w:rsidRPr="00CB09E9">
        <w:rPr>
          <w:rFonts w:ascii="Arial" w:eastAsia="Times New Roman" w:hAnsi="Arial" w:cs="Arial"/>
          <w:color w:val="000000" w:themeColor="text1"/>
          <w:sz w:val="24"/>
          <w:szCs w:val="24"/>
          <w:lang w:eastAsia="ru-RU"/>
        </w:rPr>
        <w:t>продолжить газификацию сельских населенных пунктов;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перевод отопления объектов социальной сферы на природный газ.</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газификации</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6"/>
        <w:gridCol w:w="3456"/>
        <w:gridCol w:w="1620"/>
        <w:gridCol w:w="2059"/>
        <w:gridCol w:w="1628"/>
      </w:tblGrid>
      <w:tr w:rsidR="008C7515" w:rsidRPr="008C7515" w:rsidTr="008C7515">
        <w:tc>
          <w:tcPr>
            <w:tcW w:w="31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8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10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Примечание</w:t>
            </w:r>
          </w:p>
        </w:tc>
      </w:tr>
      <w:tr w:rsidR="008C7515" w:rsidRPr="008C7515" w:rsidTr="008C7515">
        <w:tc>
          <w:tcPr>
            <w:tcW w:w="31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Перевод с электрического отопления на отопление с использованием газового оборудования в МБДОУ "Колобок" с. </w:t>
            </w:r>
            <w:proofErr w:type="spellStart"/>
            <w:r w:rsidRPr="00CB09E9">
              <w:rPr>
                <w:rFonts w:ascii="Arial" w:eastAsia="Times New Roman" w:hAnsi="Arial" w:cs="Arial"/>
                <w:color w:val="000000" w:themeColor="text1"/>
                <w:sz w:val="24"/>
                <w:szCs w:val="24"/>
                <w:lang w:eastAsia="ru-RU"/>
              </w:rPr>
              <w:t>Кириллово</w:t>
            </w:r>
            <w:proofErr w:type="spellEnd"/>
            <w:r w:rsidRPr="00CB09E9">
              <w:rPr>
                <w:rFonts w:ascii="Arial" w:eastAsia="Times New Roman" w:hAnsi="Arial" w:cs="Arial"/>
                <w:color w:val="000000" w:themeColor="text1"/>
                <w:sz w:val="24"/>
                <w:szCs w:val="24"/>
                <w:lang w:eastAsia="ru-RU"/>
              </w:rPr>
              <w:t xml:space="preserve"> (ПСД)</w:t>
            </w:r>
          </w:p>
        </w:tc>
        <w:tc>
          <w:tcPr>
            <w:tcW w:w="8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2025-2027</w:t>
            </w:r>
          </w:p>
        </w:tc>
        <w:tc>
          <w:tcPr>
            <w:tcW w:w="110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r>
      <w:tr w:rsidR="008C7515" w:rsidRPr="008C7515" w:rsidTr="008C7515">
        <w:tc>
          <w:tcPr>
            <w:tcW w:w="31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Перевод с электрического отопления на отопление с использованием газового оборудования в МБДОУ "Теремок" с. Пальна - Михайловка (ПСД)</w:t>
            </w:r>
          </w:p>
        </w:tc>
        <w:tc>
          <w:tcPr>
            <w:tcW w:w="87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2025-2027</w:t>
            </w:r>
          </w:p>
        </w:tc>
        <w:tc>
          <w:tcPr>
            <w:tcW w:w="110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целях повышения газификации домовладений газифицированных населенных пунктов в соответствии с Поручением Президента Российской Федерации от 2 мая 2021 года № Пр-753 "Перечень поручений по реализации Послания Президента Федеральному Собранию" (п. 8) строительство газопровода до границ земельного участка, на котором расположено домовладение, выполняется силами, средствами и за счёт газораспределительной организации (так называемая "</w:t>
      </w:r>
      <w:proofErr w:type="spellStart"/>
      <w:r w:rsidRPr="00CB09E9">
        <w:rPr>
          <w:rFonts w:ascii="Arial" w:eastAsia="Times New Roman" w:hAnsi="Arial" w:cs="Arial"/>
          <w:color w:val="000000" w:themeColor="text1"/>
          <w:sz w:val="24"/>
          <w:szCs w:val="24"/>
          <w:lang w:eastAsia="ru-RU"/>
        </w:rPr>
        <w:t>догазификация</w:t>
      </w:r>
      <w:proofErr w:type="spellEnd"/>
      <w:r w:rsidRPr="00CB09E9">
        <w:rPr>
          <w:rFonts w:ascii="Arial" w:eastAsia="Times New Roman" w:hAnsi="Arial" w:cs="Arial"/>
          <w:color w:val="000000" w:themeColor="text1"/>
          <w:sz w:val="24"/>
          <w:szCs w:val="24"/>
          <w:lang w:eastAsia="ru-RU"/>
        </w:rPr>
        <w:t>"). В рамках данной программы в период 2025 - 2026 гг. планируется газифицировать 12 домовладений для многодетных семей.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рамках комплексного развития систем коммунальной инфраструктуры Становлянского округа и проведения основных мероприятий приведет к положительным результатам: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повышение качества коммунальных услуг для потребителей;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предотвращение вредного воздействия отходов на здоровье человека и окружающую среду;</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повышение надежности работы систем коммунальной инфраструктуры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снижение потерь коммунальных ресурсов;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снижение аварийности на сетях коммунальной инфраструктуры;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е) снижение износа коммунальных сетей;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 обеспечение условий для подключения вновь строящихся объектов жилищного фонда и социальной сферы;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з) использование механизмов </w:t>
      </w:r>
      <w:proofErr w:type="spellStart"/>
      <w:r w:rsidRPr="00CB09E9">
        <w:rPr>
          <w:rFonts w:ascii="Arial" w:eastAsia="Times New Roman" w:hAnsi="Arial" w:cs="Arial"/>
          <w:color w:val="000000" w:themeColor="text1"/>
          <w:sz w:val="24"/>
          <w:szCs w:val="24"/>
          <w:lang w:eastAsia="ru-RU"/>
        </w:rPr>
        <w:t>муниципально</w:t>
      </w:r>
      <w:proofErr w:type="spellEnd"/>
      <w:r w:rsidRPr="00CB09E9">
        <w:rPr>
          <w:rFonts w:ascii="Arial" w:eastAsia="Times New Roman" w:hAnsi="Arial" w:cs="Arial"/>
          <w:color w:val="000000" w:themeColor="text1"/>
          <w:sz w:val="24"/>
          <w:szCs w:val="24"/>
          <w:lang w:eastAsia="ru-RU"/>
        </w:rPr>
        <w:t>-частного партнерства и концессии для создания или восстановления систем коммунальной инфраструктуры;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и) снижение удельных показателей потребления электрической и тепловой энергии, воды и природного газа.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4.3.2. Благоустройство территории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Одним из главных факторов закрепления населения, в том числе молодежи, в сельской местности является создание комфортных условий проживания, в том числе мест отдыха с детьми и семейного отдыха.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рамках реализации регионального проекта "Формирование комфортной городской среды" направленного на организацию благоустройства на территории Становлянского округа в 2025 - 2030 году планируется благоустроить населенные пункты, а именно: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1. Мемориальная зона: Аллея Славы "Никто не забыт - ничто не забыто" с. </w:t>
      </w:r>
      <w:proofErr w:type="spellStart"/>
      <w:r w:rsidRPr="00CB09E9">
        <w:rPr>
          <w:rFonts w:ascii="Arial" w:eastAsia="Times New Roman" w:hAnsi="Arial" w:cs="Arial"/>
          <w:color w:val="000000" w:themeColor="text1"/>
          <w:sz w:val="24"/>
          <w:szCs w:val="24"/>
          <w:lang w:eastAsia="ru-RU"/>
        </w:rPr>
        <w:t>Грунин-Воргол</w:t>
      </w:r>
      <w:proofErr w:type="spellEnd"/>
      <w:r w:rsidRPr="00CB09E9">
        <w:rPr>
          <w:rFonts w:ascii="Arial" w:eastAsia="Times New Roman" w:hAnsi="Arial" w:cs="Arial"/>
          <w:color w:val="000000" w:themeColor="text1"/>
          <w:sz w:val="24"/>
          <w:szCs w:val="24"/>
          <w:lang w:eastAsia="ru-RU"/>
        </w:rPr>
        <w:t xml:space="preserve"> Становлянского округа. Основная концепция заключается в создании пространства, объединяющего парковую зону и мемориальный комплекс. Никто не должен забывать о подвиге нашего народа, помнить и гордится тем, что нам оставили наши предки.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Общественные территории: благоустройство сквера с. Березовка Становлянского округа. Цель - обеспечение жителей населенного пункта благоприятными условиями проживания, создание максимальной комфортной среды обитания человека, улучшение санитарного состояния территорий за счет реализации мероприятий. Проектом предусмотрено развитие естественной формы участка, что позволит обеспечить визуальное раскрытие вглубь территорий участка, вовлекая образовавшиеся зоны во взаимодействие.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Продолжится благоустройство парка "Юбилейный" в опорном населенном пункте село Становое. Планируется провести озеленение парка, установить малые архитектурные формы.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2025 - 2030 гг. в рамках реализации мероприятий подпрограммы "Устойчивое развитие сельских территорий Липецкой области"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на территории, подведомственной Лукьяновскому территориальному отделу администрации Становлянского округа, планируется создание парковой зоны с установкой фонтана, спортивно-игровой площадки, сцены. В результате обустройства сквера будет решен ряд важнейших задач:</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организация досуга детей дошкольного и младшего школьного возраста;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безопасность жизни и здоровья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пропаганда здорового образа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Появится реальная возможность проводить оздоровительные мероприятия для детей не только жителей Лукьяновского территориального отдела, но и соседних населенных пунктов.</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благоустройства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87"/>
        <w:gridCol w:w="2813"/>
        <w:gridCol w:w="1638"/>
        <w:gridCol w:w="2514"/>
        <w:gridCol w:w="1787"/>
      </w:tblGrid>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площади д. </w:t>
            </w:r>
            <w:proofErr w:type="spellStart"/>
            <w:r w:rsidRPr="00CB09E9">
              <w:rPr>
                <w:rFonts w:ascii="Arial" w:eastAsia="Times New Roman" w:hAnsi="Arial" w:cs="Arial"/>
                <w:color w:val="000000" w:themeColor="text1"/>
                <w:sz w:val="24"/>
                <w:szCs w:val="24"/>
                <w:lang w:eastAsia="ru-RU"/>
              </w:rPr>
              <w:t>Лукьяновка</w:t>
            </w:r>
            <w:proofErr w:type="spellEnd"/>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2026 - 2027</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w:t>
            </w:r>
          </w:p>
        </w:tc>
      </w:tr>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2</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сквера им. Фатьянова д. </w:t>
            </w:r>
            <w:proofErr w:type="spellStart"/>
            <w:r w:rsidRPr="00CB09E9">
              <w:rPr>
                <w:rFonts w:ascii="Arial" w:eastAsia="Times New Roman" w:hAnsi="Arial" w:cs="Arial"/>
                <w:color w:val="000000" w:themeColor="text1"/>
                <w:sz w:val="24"/>
                <w:szCs w:val="24"/>
                <w:lang w:eastAsia="ru-RU"/>
              </w:rPr>
              <w:t>Лукьяновка</w:t>
            </w:r>
            <w:proofErr w:type="spellEnd"/>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w:t>
            </w:r>
          </w:p>
        </w:tc>
      </w:tr>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Обустройство парка "Юбилейный" с. Становое</w:t>
            </w:r>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2025 - 2030</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r>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Обустройство сквера с. Берёзовка</w:t>
            </w:r>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w:t>
            </w:r>
          </w:p>
        </w:tc>
      </w:tr>
      <w:tr w:rsidR="008C7515" w:rsidRPr="008C7515" w:rsidTr="008C7515">
        <w:tc>
          <w:tcPr>
            <w:tcW w:w="3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15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Мемориальная зона: Аллея Славы "Никто не забыт - ничто не забыто" с. Грунин-Воргол</w:t>
            </w:r>
          </w:p>
        </w:tc>
        <w:tc>
          <w:tcPr>
            <w:tcW w:w="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34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 бюджет округа, внебюджетные средства</w:t>
            </w:r>
          </w:p>
        </w:tc>
        <w:tc>
          <w:tcPr>
            <w:tcW w:w="95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повышение уровня благоустройства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улучшение внешнего облика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повышение инвестиционной привлекательности жилищно-коммунального сектора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4.3.3. Транспортная инфраструктура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Стратегической целью - организация эффективного функционирования транспортной системы в Становлянском округе, позволяющей повысить безопасность дорожного движения, обеспечить жителей округа качественным транспортным обслуживанием, повысить доступность транспортных услуг.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Задачи, поставленные на достижение данной цели: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совершенствование транспортной инфраструктуры;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обеспечение охраны жизни, здоровья населения и его имущества, повышение гарантий законных прав на безопасные условия движения на дорогах.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доли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 в общей протяженности автомобильных дорог общего пользования местного значения на территории Становлянского округа к 2030 году до 67 %, за счет проведения строительства (реконструкции), капитального ремонта и ремонта существующей улично-дорожной сети муниципального образования, в том числе с привлечением средств областного бюджета.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частности, в течение 2025 года планируется выполнить работы по ремонту семи участков дорог местного значения в следующих населенных пунктах: с. </w:t>
      </w:r>
      <w:proofErr w:type="spellStart"/>
      <w:r w:rsidRPr="00CB09E9">
        <w:rPr>
          <w:rFonts w:ascii="Arial" w:eastAsia="Times New Roman" w:hAnsi="Arial" w:cs="Arial"/>
          <w:color w:val="000000" w:themeColor="text1"/>
          <w:sz w:val="24"/>
          <w:szCs w:val="24"/>
          <w:lang w:eastAsia="ru-RU"/>
        </w:rPr>
        <w:t>Кириллово</w:t>
      </w:r>
      <w:proofErr w:type="spellEnd"/>
      <w:r w:rsidRPr="00CB09E9">
        <w:rPr>
          <w:rFonts w:ascii="Arial" w:eastAsia="Times New Roman" w:hAnsi="Arial" w:cs="Arial"/>
          <w:color w:val="000000" w:themeColor="text1"/>
          <w:sz w:val="24"/>
          <w:szCs w:val="24"/>
          <w:lang w:eastAsia="ru-RU"/>
        </w:rPr>
        <w:t xml:space="preserve">, с. Ламское, д. Александровка, д. </w:t>
      </w:r>
      <w:proofErr w:type="spellStart"/>
      <w:r w:rsidRPr="00CB09E9">
        <w:rPr>
          <w:rFonts w:ascii="Arial" w:eastAsia="Times New Roman" w:hAnsi="Arial" w:cs="Arial"/>
          <w:color w:val="000000" w:themeColor="text1"/>
          <w:sz w:val="24"/>
          <w:szCs w:val="24"/>
          <w:lang w:eastAsia="ru-RU"/>
        </w:rPr>
        <w:t>Новиково</w:t>
      </w:r>
      <w:proofErr w:type="spellEnd"/>
      <w:r w:rsidRPr="00CB09E9">
        <w:rPr>
          <w:rFonts w:ascii="Arial" w:eastAsia="Times New Roman" w:hAnsi="Arial" w:cs="Arial"/>
          <w:color w:val="000000" w:themeColor="text1"/>
          <w:sz w:val="24"/>
          <w:szCs w:val="24"/>
          <w:lang w:eastAsia="ru-RU"/>
        </w:rPr>
        <w:t xml:space="preserve">, д. Михайловка, с. Становое, д. </w:t>
      </w:r>
      <w:proofErr w:type="spellStart"/>
      <w:r w:rsidRPr="00CB09E9">
        <w:rPr>
          <w:rFonts w:ascii="Arial" w:eastAsia="Times New Roman" w:hAnsi="Arial" w:cs="Arial"/>
          <w:color w:val="000000" w:themeColor="text1"/>
          <w:sz w:val="24"/>
          <w:szCs w:val="24"/>
          <w:lang w:eastAsia="ru-RU"/>
        </w:rPr>
        <w:t>Яркино</w:t>
      </w:r>
      <w:proofErr w:type="spellEnd"/>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рамках реализации муниципальной программы "Обеспечение населения Становлянского муниципального округа Липецкой области Российской Федерации </w:t>
      </w:r>
      <w:r w:rsidRPr="00CB09E9">
        <w:rPr>
          <w:rFonts w:ascii="Arial" w:eastAsia="Times New Roman" w:hAnsi="Arial" w:cs="Arial"/>
          <w:color w:val="000000" w:themeColor="text1"/>
          <w:sz w:val="24"/>
          <w:szCs w:val="24"/>
          <w:lang w:eastAsia="ru-RU"/>
        </w:rPr>
        <w:lastRenderedPageBreak/>
        <w:t>качественной инфраструктурой и услугами ЖКХ" предусмотрены мероприятия по ремонту и содержанию дорог общего пользования местного значения вне границ и в границах сельских населенных пунктов округа. Участки дорог, подлежащие ремонту, будут определены в соответствии с обращениями граждан, поступившими в адрес администрации, а также с учетом денежных средств, предусмотренных на дорожную деятельность в бюджете округа на соответствующие периоды, а также вступивших в законную силу решений суда, возникших природных чрезвычайных ситуаций, обязательств по отношению к участникам специальной военной операции (СВО) и их близким.</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транспортной инфраструктуры</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6"/>
        <w:gridCol w:w="3343"/>
        <w:gridCol w:w="1608"/>
        <w:gridCol w:w="2084"/>
        <w:gridCol w:w="1728"/>
      </w:tblGrid>
      <w:tr w:rsidR="008C7515" w:rsidRPr="008C7515" w:rsidTr="008C7515">
        <w:tc>
          <w:tcPr>
            <w:tcW w:w="30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7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1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92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0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7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автомобильной дороги общего пользования местного значения по улице Октябрьская в с. Грунин Воргол (подъезд к зерноскладу ООО "Курск </w:t>
            </w:r>
            <w:proofErr w:type="spellStart"/>
            <w:r w:rsidRPr="00CB09E9">
              <w:rPr>
                <w:rFonts w:ascii="Arial" w:eastAsia="Times New Roman" w:hAnsi="Arial" w:cs="Arial"/>
                <w:color w:val="000000" w:themeColor="text1"/>
                <w:sz w:val="24"/>
                <w:szCs w:val="24"/>
                <w:lang w:eastAsia="ru-RU"/>
              </w:rPr>
              <w:t>АгроАктив</w:t>
            </w:r>
            <w:proofErr w:type="spellEnd"/>
            <w:r w:rsidRPr="00CB09E9">
              <w:rPr>
                <w:rFonts w:ascii="Arial" w:eastAsia="Times New Roman" w:hAnsi="Arial" w:cs="Arial"/>
                <w:color w:val="000000" w:themeColor="text1"/>
                <w:sz w:val="24"/>
                <w:szCs w:val="24"/>
                <w:lang w:eastAsia="ru-RU"/>
              </w:rPr>
              <w:t>")</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w:t>
            </w:r>
          </w:p>
        </w:tc>
        <w:tc>
          <w:tcPr>
            <w:tcW w:w="92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138,5</w:t>
            </w:r>
          </w:p>
        </w:tc>
      </w:tr>
      <w:tr w:rsidR="008C7515" w:rsidRPr="008C7515" w:rsidTr="008C7515">
        <w:tc>
          <w:tcPr>
            <w:tcW w:w="30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7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автомобильных дорог общего пользования местного значения по объектам: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50 лет Октября с. Становое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Парковая с. Становое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Советская с. Становое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Горького с. Становое</w:t>
            </w:r>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2025 - 2026</w:t>
            </w:r>
          </w:p>
        </w:tc>
        <w:tc>
          <w:tcPr>
            <w:tcW w:w="11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2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r>
      <w:tr w:rsidR="008C7515" w:rsidRPr="008C7515" w:rsidTr="008C7515">
        <w:tc>
          <w:tcPr>
            <w:tcW w:w="30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7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автомобильных дорог общего пользования местного значения по объектам: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Пушкина с. Становое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ул. Липецкая с. Становое</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 ул. Красный поселок </w:t>
            </w:r>
            <w:proofErr w:type="spellStart"/>
            <w:r w:rsidRPr="00CB09E9">
              <w:rPr>
                <w:rFonts w:ascii="Arial" w:eastAsia="Times New Roman" w:hAnsi="Arial" w:cs="Arial"/>
                <w:color w:val="000000" w:themeColor="text1"/>
                <w:sz w:val="24"/>
                <w:szCs w:val="24"/>
                <w:lang w:eastAsia="ru-RU"/>
              </w:rPr>
              <w:t>д.Яркино</w:t>
            </w:r>
            <w:proofErr w:type="spellEnd"/>
          </w:p>
        </w:tc>
        <w:tc>
          <w:tcPr>
            <w:tcW w:w="86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11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92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35,35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увеличение доли протяженности улично-дорожной сети, соответствующей нормативным требованиям;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повышение безопасности дорожного движения, снижение количества мест концентрации дорожно-транспортных происшествий;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повышение качества транспортного обслуживания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4.3.4. Жилищное строительство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Стратегическая цель - обеспечение доступности жилья для всех категорий населения, а также соответствия объёмов комфортного жилищного фонда потребностям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достижения поставленной цели предусмотрено решение следующих задач:</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увеличение объемов жилищного строительства и модернизация коммунальной инфраструктуры;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устойчивого сокращения непригодного для проживания жилищного фонда;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обновления к 2030 году жилищного фонда;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реализации мероприятий областной программы по переселению граждан из аварийного жилищного фонда в рамках участия в федеральном проекте "Жилье" национального проекта "Инфраструктура для жизни";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реализации программы по обеспечению жильем отдельных категорий граждан (молодых семей, специалистов на селе, граждан - получателей государственных жилищных сертификатов, инвалидов, детей-сирот, а также семей, имеющих право воспользоваться средствами материнского (семейного) капитала в целях улучшения жилищных условий);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выделения земельных участков для бесплатного предоставления многодетным семьям с имеющимися объектами коммунальной инфраструктуры для индивидуального жилищного строительства в рамках реализации положений Федерального закона </w:t>
      </w:r>
      <w:hyperlink r:id="rId42" w:history="1">
        <w:r w:rsidRPr="00CB09E9">
          <w:rPr>
            <w:rFonts w:ascii="Arial" w:eastAsia="Times New Roman" w:hAnsi="Arial" w:cs="Arial"/>
            <w:color w:val="000000" w:themeColor="text1"/>
            <w:sz w:val="24"/>
            <w:szCs w:val="24"/>
            <w:lang w:eastAsia="ru-RU"/>
          </w:rPr>
          <w:t>от 14 июня 2011 года № 138-ФЗ</w:t>
        </w:r>
      </w:hyperlink>
      <w:r w:rsidRPr="00CB09E9">
        <w:rPr>
          <w:rFonts w:ascii="Arial" w:eastAsia="Times New Roman" w:hAnsi="Arial" w:cs="Arial"/>
          <w:color w:val="000000" w:themeColor="text1"/>
          <w:sz w:val="24"/>
          <w:szCs w:val="24"/>
          <w:lang w:eastAsia="ru-RU"/>
        </w:rPr>
        <w:t> "О внесении изменений в статью 16 Федерального закона "О содействии развитию жилищного строительства" и Земельный кодекс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округе сформированы кварталы индивидуальной жилой застройки: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48:14:1950101:1247</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их границах, соответственно, выделены земельные участки для бесплатного предоставления многодетным семьям для индивидуального жилищного строительства.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отношении указанных территорий разработана и утверждена документация по планировке территории. Проектными решениями определено развитие территорий, формирование территорий общего пользования, устройство безопасной пешеходной и транспортной развязки, определены расходы норм потребления ресурсов, а также установлены линии градостроительного регулирования. Проектами предусмотрено размещение школ, детских садов, административных зданий. Существенным препятствием для комплексного освоения указанных территорий является отсутствие подводящих магистральных и внутриквартальных сетей инженерно-технического обеспечения.</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жилищного строительства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16"/>
        <w:gridCol w:w="3439"/>
        <w:gridCol w:w="1722"/>
        <w:gridCol w:w="3562"/>
      </w:tblGrid>
      <w:tr w:rsidR="008C7515" w:rsidRPr="008C7515" w:rsidTr="008C7515">
        <w:tc>
          <w:tcPr>
            <w:tcW w:w="33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84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92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90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r>
      <w:tr w:rsidR="008C7515" w:rsidRPr="008C7515" w:rsidTr="008C7515">
        <w:tc>
          <w:tcPr>
            <w:tcW w:w="33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4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многоквартирных жилых домов</w:t>
            </w:r>
          </w:p>
        </w:tc>
        <w:tc>
          <w:tcPr>
            <w:tcW w:w="92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190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w:t>
            </w:r>
          </w:p>
        </w:tc>
      </w:tr>
      <w:tr w:rsidR="008C7515" w:rsidRPr="008C7515" w:rsidTr="008C7515">
        <w:tc>
          <w:tcPr>
            <w:tcW w:w="33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4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индивидуальных жилых домов для специалистов на селе</w:t>
            </w:r>
          </w:p>
        </w:tc>
        <w:tc>
          <w:tcPr>
            <w:tcW w:w="92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2025 - 2027</w:t>
            </w:r>
          </w:p>
        </w:tc>
        <w:tc>
          <w:tcPr>
            <w:tcW w:w="190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Федеральный бюджет, региональный бюджет, бюджет округа, внебюджетные средства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население обладают доступным и комфортным жильем;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б) развитие жилищного строительства, ориентированного на формирование более комфортной и экологичной среды для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4.3.5. Состояние окружающей среды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обеспечение экологической безопасности, улучшение качества окружающей среды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Ключевые задачи по охране окружающей среды: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совершенствование системы накопления ТКО на территории населенных пунктов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повышение уровня информированности населения Становлянского округа о состоянии и об охране окружающей среды.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организация и развитие экологического образования и воспитания детей и молодёжи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достижения основной цели и решения задач по охране окружающей среды планируется: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обеспечить организацию сбора, накопления и утилизации отработанных ртутьсодержащих ламп от бюджетных организаций 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обеспечить публикацию материалов о природоохранной деятельности на территории на официальном сайте администрации Становлянского округа и в местной газете;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обеспечить проведение эколого-просветительской и природоохранной деятельности в дошкольных и общеобразовательных учреждениях;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организовывать и проводить конкурсы, конференции, акции по экологической тематике для детей и молодёжи;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провести мероприятия по установлению границ лесов, расположенных на землях населенных пунктов, внести сведения о них в Единый государственный реестр недвижимости.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Выполнение планируемых мероприятий позволит создать необходимые условия для сбора ТКО, значительно сократить количество несанкционированного размещения бытовых отходов и количество жалоб населения по вопросам санитарного содержания территорий населенных пунктов.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 рамках исполнения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и комплексной государственной программы Липецкой области "Комплексное развитие сельских территорий Липецкой области" на территории населенных пунктов Становлянского округа в 2025 году планируется установить </w:t>
      </w:r>
      <w:proofErr w:type="spellStart"/>
      <w:r w:rsidRPr="00CB09E9">
        <w:rPr>
          <w:rFonts w:ascii="Arial" w:eastAsia="Times New Roman" w:hAnsi="Arial" w:cs="Arial"/>
          <w:color w:val="000000" w:themeColor="text1"/>
          <w:sz w:val="24"/>
          <w:szCs w:val="24"/>
          <w:lang w:eastAsia="ru-RU"/>
        </w:rPr>
        <w:t>евроконтейнеры</w:t>
      </w:r>
      <w:proofErr w:type="spellEnd"/>
      <w:r w:rsidRPr="00CB09E9">
        <w:rPr>
          <w:rFonts w:ascii="Arial" w:eastAsia="Times New Roman" w:hAnsi="Arial" w:cs="Arial"/>
          <w:color w:val="000000" w:themeColor="text1"/>
          <w:sz w:val="24"/>
          <w:szCs w:val="24"/>
          <w:lang w:eastAsia="ru-RU"/>
        </w:rPr>
        <w:t xml:space="preserve"> объемом 1,1 м</w:t>
      </w:r>
      <w:r w:rsidRPr="00CB09E9">
        <w:rPr>
          <w:rFonts w:ascii="Arial" w:eastAsia="Times New Roman" w:hAnsi="Arial" w:cs="Arial"/>
          <w:color w:val="000000" w:themeColor="text1"/>
          <w:sz w:val="24"/>
          <w:szCs w:val="24"/>
          <w:vertAlign w:val="superscript"/>
          <w:lang w:eastAsia="ru-RU"/>
        </w:rPr>
        <w:t>3</w:t>
      </w:r>
      <w:r w:rsidRPr="00CB09E9">
        <w:rPr>
          <w:rFonts w:ascii="Arial" w:eastAsia="Times New Roman" w:hAnsi="Arial" w:cs="Arial"/>
          <w:color w:val="000000" w:themeColor="text1"/>
          <w:sz w:val="24"/>
          <w:szCs w:val="24"/>
          <w:lang w:eastAsia="ru-RU"/>
        </w:rPr>
        <w:t> для накопления твердых коммунальных отходов на местах (площадках) накопления ТКО, а так же реконструировать контейнерные площадки согласно СанПиН.</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4.3.1.4.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План мероприятий в сфере улучшения благоустройства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32"/>
        <w:gridCol w:w="2869"/>
        <w:gridCol w:w="1761"/>
        <w:gridCol w:w="2030"/>
        <w:gridCol w:w="2047"/>
      </w:tblGrid>
      <w:tr w:rsidR="008C7515" w:rsidRPr="008C7515" w:rsidTr="008C7515">
        <w:tc>
          <w:tcPr>
            <w:tcW w:w="3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53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94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Период реализации</w:t>
            </w:r>
          </w:p>
        </w:tc>
        <w:tc>
          <w:tcPr>
            <w:tcW w:w="10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Источники средств</w:t>
            </w:r>
          </w:p>
        </w:tc>
        <w:tc>
          <w:tcPr>
            <w:tcW w:w="10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Сумма инвестиций, млн. руб.</w:t>
            </w:r>
          </w:p>
        </w:tc>
      </w:tr>
      <w:tr w:rsidR="008C7515" w:rsidRPr="008C7515" w:rsidTr="008C7515">
        <w:tc>
          <w:tcPr>
            <w:tcW w:w="3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53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площади д. </w:t>
            </w:r>
            <w:proofErr w:type="spellStart"/>
            <w:r w:rsidRPr="00CB09E9">
              <w:rPr>
                <w:rFonts w:ascii="Arial" w:eastAsia="Times New Roman" w:hAnsi="Arial" w:cs="Arial"/>
                <w:color w:val="000000" w:themeColor="text1"/>
                <w:sz w:val="24"/>
                <w:szCs w:val="24"/>
                <w:lang w:eastAsia="ru-RU"/>
              </w:rPr>
              <w:t>Лукьяновка</w:t>
            </w:r>
            <w:proofErr w:type="spellEnd"/>
          </w:p>
        </w:tc>
        <w:tc>
          <w:tcPr>
            <w:tcW w:w="94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2026 - 2027</w:t>
            </w:r>
          </w:p>
        </w:tc>
        <w:tc>
          <w:tcPr>
            <w:tcW w:w="10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w:t>
            </w:r>
          </w:p>
        </w:tc>
      </w:tr>
      <w:tr w:rsidR="008C7515" w:rsidRPr="008C7515" w:rsidTr="008C7515">
        <w:tc>
          <w:tcPr>
            <w:tcW w:w="3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53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сквера им. Фатьянова д. </w:t>
            </w:r>
            <w:proofErr w:type="spellStart"/>
            <w:r w:rsidRPr="00CB09E9">
              <w:rPr>
                <w:rFonts w:ascii="Arial" w:eastAsia="Times New Roman" w:hAnsi="Arial" w:cs="Arial"/>
                <w:color w:val="000000" w:themeColor="text1"/>
                <w:sz w:val="24"/>
                <w:szCs w:val="24"/>
                <w:lang w:eastAsia="ru-RU"/>
              </w:rPr>
              <w:t>Лукьяновка</w:t>
            </w:r>
            <w:proofErr w:type="spellEnd"/>
          </w:p>
        </w:tc>
        <w:tc>
          <w:tcPr>
            <w:tcW w:w="94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10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r>
      <w:tr w:rsidR="008C7515" w:rsidRPr="008C7515" w:rsidTr="008C7515">
        <w:tc>
          <w:tcPr>
            <w:tcW w:w="33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3</w:t>
            </w:r>
          </w:p>
        </w:tc>
        <w:tc>
          <w:tcPr>
            <w:tcW w:w="153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парка "Юбилейный" </w:t>
            </w:r>
            <w:proofErr w:type="spellStart"/>
            <w:r w:rsidRPr="00CB09E9">
              <w:rPr>
                <w:rFonts w:ascii="Arial" w:eastAsia="Times New Roman" w:hAnsi="Arial" w:cs="Arial"/>
                <w:color w:val="000000" w:themeColor="text1"/>
                <w:sz w:val="24"/>
                <w:szCs w:val="24"/>
                <w:lang w:eastAsia="ru-RU"/>
              </w:rPr>
              <w:t>с.Становое</w:t>
            </w:r>
            <w:proofErr w:type="spellEnd"/>
          </w:p>
        </w:tc>
        <w:tc>
          <w:tcPr>
            <w:tcW w:w="94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2025 - 2030</w:t>
            </w:r>
          </w:p>
        </w:tc>
        <w:tc>
          <w:tcPr>
            <w:tcW w:w="10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региональный бюджет</w:t>
            </w:r>
          </w:p>
        </w:tc>
        <w:tc>
          <w:tcPr>
            <w:tcW w:w="10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сокращение количества несанкционированных свалок;</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увеличение количества посаженных деревьев и кустарников;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улучшение экологической обстановки и условий проживания населения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повышение уровня экологической культуры и образования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 уменьшения численности безнадзорных животных.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4.4. Четвертое стратегическое направление: организация муниципального управления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4.4.1. Развитие местного сообщества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Стратегическая цель - обеспечение функционирования системы взаимодействия муниципалитета с населением, поддержка участия населения в решении вопросов местного значения, осуществление реализации конституционных прав граждан, сохранение стабильной общественно-социальной обстановки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эффективной реализации Стратегии требуется четкая координация деятельности всех органов местного самоуправления. Основными приоритетами работы органов местного самоуправления муниципального образования Становлянский округ является улучшение качества жизни населения через реализацию муниципальных программ.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гражданского общества направлено на создание благоприятных условий жизни, основанных, помимо социально-экономических благ, на информированность, доверие и социальную ориентацию. Для этого необходимо проведение сознательной, организованной, систематической и непрерывной работы в таких направлениях, как обеспечение прозрачности деятельности органов местного самоуправления и формирование информационной среды.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Для повышения гражданской активности населения и достижения общественного согласия во всех сферах жизнедеятельности необходимо: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повышение эффективности деятельности органов исполнительной власти Становлянский округ;</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создание территориального общественного самоуправления и социального партнерства;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вынесение особо важных вопросов жизнедеятельности на рассмотрение на сходах, референдумах, публичных слушаниях и обсуждениях;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привлечение общественности к участию в выборах, переписи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Одним из основных условий последовательного развития Становлянского округа является повышение профессионализма и компетентности кадрового состава органов местного самоуправления. Последовательная реализация муниципальной программы "Повышение эффективности муниципального управления в Становлянском муниципальном округе Липецкой области Российской Федерации" позволит создать действенную систему муниципальной службы, сформировать высококвалифицированный состав муниципальных служащих, </w:t>
      </w:r>
      <w:r w:rsidRPr="00CB09E9">
        <w:rPr>
          <w:rFonts w:ascii="Arial" w:eastAsia="Times New Roman" w:hAnsi="Arial" w:cs="Arial"/>
          <w:color w:val="000000" w:themeColor="text1"/>
          <w:sz w:val="24"/>
          <w:szCs w:val="24"/>
          <w:lang w:eastAsia="ru-RU"/>
        </w:rPr>
        <w:lastRenderedPageBreak/>
        <w:t>обеспечить эффективность муниципальной службы и результативность деятельности органов местного самоуправления.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Механизм реализации: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Организация обучения (повышение квалификации, профессиональная переподготовка) муниципальных служащих: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ежегодное проведение мониторинга по изучению потребности получения новых знаний, умений и навыков муниципальными служащими;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определение приоритетных направлений программ системы обучения муниципальных служащих;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применение дистанционных технологий обучения.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установлен конструктивный диалог с представителями власти;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вовлечение населения в процедуры обсуждения и принятия бюджетных решений, развитие механизма инициативного бюджетирования;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граждане привлечены к осуществлению общественного самоуправления на основе эффективной "обратной связи";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снижена социально-политическая напряженность.</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4.4.2. Информационное общество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Стратегическими целями развития информационного общества Становлянского округа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Поддержка и участие в реализации федеральных и региональных информационных систем.</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Обеспечение возможности равного доступа населения к информации о деятельности органов местного самоуправления.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Сохранение 100% обеспеченности современным высокопроизводительным оборудованием и компьютерной техникой рабочих мест в администрации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Моделирование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организация закупок высокопроизводительного оборудования и компьютерной техники;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обеспечение функционирования работы администрации в едином информационном пространстве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обеспечение функционирования сайта администрации Становлянского округа и интернет-приемной.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а) стабильный доступ муниципальных служащих к государственным и </w:t>
      </w:r>
      <w:proofErr w:type="gramStart"/>
      <w:r w:rsidRPr="00CB09E9">
        <w:rPr>
          <w:rFonts w:ascii="Arial" w:eastAsia="Times New Roman" w:hAnsi="Arial" w:cs="Arial"/>
          <w:color w:val="000000" w:themeColor="text1"/>
          <w:sz w:val="24"/>
          <w:szCs w:val="24"/>
          <w:lang w:eastAsia="ru-RU"/>
        </w:rPr>
        <w:t>региональным информационным системам</w:t>
      </w:r>
      <w:proofErr w:type="gramEnd"/>
      <w:r w:rsidRPr="00CB09E9">
        <w:rPr>
          <w:rFonts w:ascii="Arial" w:eastAsia="Times New Roman" w:hAnsi="Arial" w:cs="Arial"/>
          <w:color w:val="000000" w:themeColor="text1"/>
          <w:sz w:val="24"/>
          <w:szCs w:val="24"/>
          <w:lang w:eastAsia="ru-RU"/>
        </w:rPr>
        <w:t xml:space="preserve"> и закрытой части порталов;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предоставление организациям (учреждениям) возможности получения информации путем электронного документооборота;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предоставление возможности населению подать обращение в администрацию Становлянского округа через интернет- приемную, функционирующую на официальном сайте;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 стабильное информирование населения о деятельности администрации Становлянского округа через официальный сайт.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4.4.3. Бюджетная политика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направления бюджетной политики Становлянского округа подготовлены в соответствии со статьями 172, 184.2 </w:t>
      </w:r>
      <w:hyperlink r:id="rId43" w:history="1">
        <w:r w:rsidRPr="00CB09E9">
          <w:rPr>
            <w:rFonts w:ascii="Arial" w:eastAsia="Times New Roman" w:hAnsi="Arial" w:cs="Arial"/>
            <w:color w:val="000000" w:themeColor="text1"/>
            <w:sz w:val="24"/>
            <w:szCs w:val="24"/>
            <w:lang w:eastAsia="ru-RU"/>
          </w:rPr>
          <w:t>Бюджетного кодекса Российской Федерации</w:t>
        </w:r>
      </w:hyperlink>
      <w:r w:rsidRPr="00CB09E9">
        <w:rPr>
          <w:rFonts w:ascii="Arial" w:eastAsia="Times New Roman" w:hAnsi="Arial" w:cs="Arial"/>
          <w:color w:val="000000" w:themeColor="text1"/>
          <w:sz w:val="24"/>
          <w:szCs w:val="24"/>
          <w:lang w:eastAsia="ru-RU"/>
        </w:rPr>
        <w:t> и с </w:t>
      </w:r>
      <w:hyperlink r:id="rId44" w:history="1">
        <w:r w:rsidRPr="00CB09E9">
          <w:rPr>
            <w:rFonts w:ascii="Arial" w:eastAsia="Times New Roman" w:hAnsi="Arial" w:cs="Arial"/>
            <w:color w:val="000000" w:themeColor="text1"/>
            <w:sz w:val="24"/>
            <w:szCs w:val="24"/>
            <w:lang w:eastAsia="ru-RU"/>
          </w:rPr>
          <w:t xml:space="preserve">Положением "О бюджетном процессе Становлянского </w:t>
        </w:r>
        <w:r w:rsidRPr="00CB09E9">
          <w:rPr>
            <w:rFonts w:ascii="Arial" w:eastAsia="Times New Roman" w:hAnsi="Arial" w:cs="Arial"/>
            <w:color w:val="000000" w:themeColor="text1"/>
            <w:sz w:val="24"/>
            <w:szCs w:val="24"/>
            <w:lang w:eastAsia="ru-RU"/>
          </w:rPr>
          <w:lastRenderedPageBreak/>
          <w:t>муниципального округа Липецкой области Российской Федерации"</w:t>
        </w:r>
      </w:hyperlink>
      <w:r w:rsidRPr="00CB09E9">
        <w:rPr>
          <w:rFonts w:ascii="Arial" w:eastAsia="Times New Roman" w:hAnsi="Arial" w:cs="Arial"/>
          <w:color w:val="000000" w:themeColor="text1"/>
          <w:sz w:val="24"/>
          <w:szCs w:val="24"/>
          <w:lang w:eastAsia="ru-RU"/>
        </w:rPr>
        <w:t>, утвержденным решением Совета депутатов Становлянского округа </w:t>
      </w:r>
      <w:hyperlink r:id="rId45" w:history="1">
        <w:r w:rsidRPr="00CB09E9">
          <w:rPr>
            <w:rFonts w:ascii="Arial" w:eastAsia="Times New Roman" w:hAnsi="Arial" w:cs="Arial"/>
            <w:color w:val="000000" w:themeColor="text1"/>
            <w:sz w:val="24"/>
            <w:szCs w:val="24"/>
            <w:lang w:eastAsia="ru-RU"/>
          </w:rPr>
          <w:t>от 18 сентября 2023 года № 18</w:t>
        </w:r>
      </w:hyperlink>
      <w:r w:rsidRPr="00CB09E9">
        <w:rPr>
          <w:rFonts w:ascii="Arial" w:eastAsia="Times New Roman" w:hAnsi="Arial" w:cs="Arial"/>
          <w:color w:val="000000" w:themeColor="text1"/>
          <w:sz w:val="24"/>
          <w:szCs w:val="24"/>
          <w:lang w:eastAsia="ru-RU"/>
        </w:rPr>
        <w:t>.</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основу бюджетной политики Становлянского округа положены стратегические цели развития округа, сформулированные в соответствии с приоритетными направлениями развития налоговой системы Российской Федерации в целях создания условий для расширения экономического потенциала развития в среднесрочной перспективе. Стратегическая цель бюджетной политики - создание условий и предпосылок для максимально эффективного управления муниципальными финансами в соответствии со стратегическими целями и задачами исполнительных органов власти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Основными задачами бюджетной политики Становлянского округа являются: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обеспечение долгосрочной сбалансированности и устойчивости бюджетной системы как базового принципа ответственной бюджетной политики;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2) стратегическая </w:t>
      </w:r>
      <w:proofErr w:type="spellStart"/>
      <w:r w:rsidRPr="00CB09E9">
        <w:rPr>
          <w:rFonts w:ascii="Arial" w:eastAsia="Times New Roman" w:hAnsi="Arial" w:cs="Arial"/>
          <w:color w:val="000000" w:themeColor="text1"/>
          <w:sz w:val="24"/>
          <w:szCs w:val="24"/>
          <w:lang w:eastAsia="ru-RU"/>
        </w:rPr>
        <w:t>приоритизация</w:t>
      </w:r>
      <w:proofErr w:type="spellEnd"/>
      <w:r w:rsidRPr="00CB09E9">
        <w:rPr>
          <w:rFonts w:ascii="Arial" w:eastAsia="Times New Roman" w:hAnsi="Arial" w:cs="Arial"/>
          <w:color w:val="000000" w:themeColor="text1"/>
          <w:sz w:val="24"/>
          <w:szCs w:val="24"/>
          <w:lang w:eastAsia="ru-RU"/>
        </w:rPr>
        <w:t xml:space="preserve"> расходов бюджета на реализацию национальных целей, определенных в Указах Президента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реализация мероприятий, направленных на повышение качества планирования и эффективности реализации муниципальных программ Становлянского округа, исходя из ожидаемых результатов;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соблюдение условий соглашений, заключенных администрацией Становлянского округа с управлением финансов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реализация мер по повышению эффективности использования бюджетных средств, в том числе путем выполнения мероприятий по оздоровлению муниципальных финансов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финансовое обеспечение принятых расходных обязательств с учетом проведения мероприятий по их оптимизации, сокращению неэффективных расходов бюджета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недопущение установления и исполнения расходных обязательств, не относящихся к полномочиям органов местного самоуправления, а также не обеспеченных источниками финансирования;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проведение оценки имеющихся ресурсов, необходимых для реализации инфраструктурных проектов;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строгое соблюдение бюджетно-финансовой дисциплины всеми главными распорядителями и получателями бюджетных средств;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 осуществление анализа деятельности казенных, бюджетных и автономных учреждений;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 работа над снижением (ликвидацией) и недопущением возникновения просроченной кредиторской задолженности по обязательствам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 совершенствование внутреннего муниципального финансового контроля в сфере бюджетных правоотношений, повышение эффективности внутреннего финансового контроля и внутреннего финансового аудита;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 продолжение реализации мероприятий по централизации бюджетного (бухгалтерского) учета органов власти и их подведомственных учреждений, включая процессы технологической цифровизации;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 повышение результативности предоставления субсидий юридическим лицам посредством мониторинга достижения результатов их предоставления;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 совершенствование межбюджетных отношений, повышение прозрачности, эффективности предоставления и распределения межбюджетных трансфертов;</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16) продолжение реализации практики инициативного бюджетирования в Становлянском округе в целях вовлечения граждан в решение первоочередных проблем местного значения и повышения уровня доверия к власти;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 обеспечение открытости и прозрачности бюджетного процесса, доступности информации о муниципальных финансах Становлянского округа. Для повышения прозрачности бюджета и бюджетного процесса необходимо продолжить формирование "Бюджета для граждан", документа, разрабатываемого для предоставления гражданам актуальной информации о проекте бюджета Становлянского округа в формате, доступном для широкого круга пользователей, которым интересны современные проблемы муниципальных финансов в Становлянском округе;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 реализация мероприятий, направленных на повышение уровня финансовой (бюджетной) грамотности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Функциональная составляющая бюджетной политики включает в себя бюджетную политику в сфере доходов, расходов. Бюджетная политика Становлянского муниципального округа в области доходов будет направлена на обеспечение динамичного поступления доходов в бюджет Становлянского округа в первую очередь за счет реализации мер, направленных на сохранение и увеличение доходного потенциала.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Главным стратегическим ориентиром налоговой политики будет являться развитие и укрепление налогового потенциала Становлянского округа, стабильность и предсказуемость налогового законодательства, повышение прозрачности налоговой политики, а также сбалансированность фискального и стимулирующего действия налогов и сборов в целях поступательного 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целях увеличения доходной базы необходима реализация следующих мероприятий: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проведение целенаправленной и эффективной работы с администраторами доходов бюджета Становлянского округа с целью выявления скрытых резервов, повышения уровня собираемости доходов, сокращения недоимки, усиления налоговой дисциплины;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проведение сбалансированной налоговой политики, учитывающей интересы бизнеса и поддержку социального сектора экономики, при условии обеспечения преемственности налоговой политики в части социальной и инвестиционной направленности;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содействие вовлечению граждан Российской Федерации в предпринимательскую деятельность и сокращение неформальной занятости;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повышение эффективности управления муниципальной собственностью и ее более рациональное использование. Расширение налогооблагаемой базы по имущественным налогам, в том числе за счет выявления правообладателей ранее учтенных объектов недвижимости, а также путем проведения кадастровой оценки.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Бюджетная политика Становлянского округа будет ориентирована на обеспечение сбалансированности расходных полномочий и ресурсов для их исполнения.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 увеличение поступления налоговых и неналоговых доходов в бюджет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 реализация инвестиционных проектов в области образования, культуры, дорожной деятельности на территории Становлянского округа за счет привлечения средств вышестоящих бюджетов в рамках участия Становлянского округа в региональных и национальных проектах;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в) повышение уровня планирования расходов бюджета главными распорядителями бюджетных средств, снижение рисков возникновения просроченной кредиторской задолженности, повышение открытости и прозрачности бюджетного процесса для населения Становлянского округа, повышение грамотности населения в бюджетной сфере и привлечение их к активному участию к реализации инициативных проектов на территории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5. Флагманские проекты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Муниципальный флагманский проект "Новое отношение к инвестору" </w:t>
      </w:r>
      <w:r w:rsidRPr="00CB09E9">
        <w:rPr>
          <w:rFonts w:ascii="Arial" w:eastAsia="Times New Roman" w:hAnsi="Arial" w:cs="Arial"/>
          <w:color w:val="000000" w:themeColor="text1"/>
          <w:sz w:val="24"/>
          <w:szCs w:val="24"/>
          <w:lang w:eastAsia="ru-RU"/>
        </w:rPr>
        <w:t>поможет в формирование благоприятного инвестиционного климата и снятие административных барьеров между бизнесом и органами власти. Обсуждение различного рода инициатив по средствам проведения регулярных встреч с участием представителей бизнеса, органов власти и контрольно-надзорных органов позволит наладить продуктивное взаимодействие между бизнесом и властью. Формирование необходимых условий для развития инвестирования на принципах МЧП (заключение концессионного соглашения в сфере ЖКХ). Оказание консультационной поддержки субъектам предпринимательства, в том числе самозанятым лицам и информирование населения о действующих мерах поддержки регионального уровня. Продолжение участия в реализации регионального проекта "Бизнес-куратор", где бизнес-куратор выступает как механизм взаимодействия органов власти с бизнес-сообществом как "единое окно".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Муниципальный флагманский проект "Развитие агропромышленного комплекса"</w:t>
      </w:r>
      <w:r w:rsidRPr="00CB09E9">
        <w:rPr>
          <w:rFonts w:ascii="Arial" w:eastAsia="Times New Roman" w:hAnsi="Arial" w:cs="Arial"/>
          <w:color w:val="000000" w:themeColor="text1"/>
          <w:sz w:val="24"/>
          <w:szCs w:val="24"/>
          <w:lang w:eastAsia="ru-RU"/>
        </w:rPr>
        <w:t> предполагает комплекс мероприятий, направленных на развитие сельского хозяйства Становлянского округа: участие действующих предприятий в получении региональных субсидий и грантов в области сельского хозяйства; строительство частным инвестором на территории муниципального округа элеватора, мощностью 96 тонн; реализация инвестиционного проекта по реконструкции животноводческой фермы на 4000 голов на территории Становлянского округа, включающий строительство убойного цеха; реализации проектов плодово-ягодного направления, в том числе расширение посадочных площадей действующим предприятием; участие в занесении данных в интерактивную карту; выявление неиспользуемых сельскохозяйственных угодий, для дальнейшего рационального их использования по целевому назначению.</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Муниципальный флагманский проект "Создание логистического центра" </w:t>
      </w:r>
      <w:r w:rsidRPr="00CB09E9">
        <w:rPr>
          <w:rFonts w:ascii="Arial" w:eastAsia="Times New Roman" w:hAnsi="Arial" w:cs="Arial"/>
          <w:color w:val="000000" w:themeColor="text1"/>
          <w:sz w:val="24"/>
          <w:szCs w:val="24"/>
          <w:lang w:eastAsia="ru-RU"/>
        </w:rPr>
        <w:t xml:space="preserve">направлен на создание условий для развития малого и среднего предпринимательства в сфере логистических услуг, а также транспортировки и хранении готовой продукции. Создание подобного центра будет способствовать поддержки местных производителей и реализации их продукции. Развитие </w:t>
      </w:r>
      <w:proofErr w:type="spellStart"/>
      <w:r w:rsidRPr="00CB09E9">
        <w:rPr>
          <w:rFonts w:ascii="Arial" w:eastAsia="Times New Roman" w:hAnsi="Arial" w:cs="Arial"/>
          <w:color w:val="000000" w:themeColor="text1"/>
          <w:sz w:val="24"/>
          <w:szCs w:val="24"/>
          <w:lang w:eastAsia="ru-RU"/>
        </w:rPr>
        <w:t>внутрирегиональной</w:t>
      </w:r>
      <w:proofErr w:type="spellEnd"/>
      <w:r w:rsidRPr="00CB09E9">
        <w:rPr>
          <w:rFonts w:ascii="Arial" w:eastAsia="Times New Roman" w:hAnsi="Arial" w:cs="Arial"/>
          <w:color w:val="000000" w:themeColor="text1"/>
          <w:sz w:val="24"/>
          <w:szCs w:val="24"/>
          <w:lang w:eastAsia="ru-RU"/>
        </w:rPr>
        <w:t xml:space="preserve"> кооперации и создание трансграничного сотрудничества с другими регионами Российской Федерации. Создание </w:t>
      </w:r>
      <w:proofErr w:type="spellStart"/>
      <w:r w:rsidRPr="00CB09E9">
        <w:rPr>
          <w:rFonts w:ascii="Arial" w:eastAsia="Times New Roman" w:hAnsi="Arial" w:cs="Arial"/>
          <w:color w:val="000000" w:themeColor="text1"/>
          <w:sz w:val="24"/>
          <w:szCs w:val="24"/>
          <w:lang w:eastAsia="ru-RU"/>
        </w:rPr>
        <w:t>агро</w:t>
      </w:r>
      <w:proofErr w:type="spellEnd"/>
      <w:r w:rsidRPr="00CB09E9">
        <w:rPr>
          <w:rFonts w:ascii="Arial" w:eastAsia="Times New Roman" w:hAnsi="Arial" w:cs="Arial"/>
          <w:color w:val="000000" w:themeColor="text1"/>
          <w:sz w:val="24"/>
          <w:szCs w:val="24"/>
          <w:lang w:eastAsia="ru-RU"/>
        </w:rPr>
        <w:t>-логистических связей.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Муниципальный флагманский проект "Центр притяжения туристов"</w:t>
      </w:r>
      <w:r w:rsidRPr="00CB09E9">
        <w:rPr>
          <w:rFonts w:ascii="Arial" w:eastAsia="Times New Roman" w:hAnsi="Arial" w:cs="Arial"/>
          <w:color w:val="000000" w:themeColor="text1"/>
          <w:sz w:val="24"/>
          <w:szCs w:val="24"/>
          <w:lang w:eastAsia="ru-RU"/>
        </w:rPr>
        <w:t xml:space="preserve"> подразумевает создание условий для развития </w:t>
      </w:r>
      <w:proofErr w:type="spellStart"/>
      <w:r w:rsidRPr="00CB09E9">
        <w:rPr>
          <w:rFonts w:ascii="Arial" w:eastAsia="Times New Roman" w:hAnsi="Arial" w:cs="Arial"/>
          <w:color w:val="000000" w:themeColor="text1"/>
          <w:sz w:val="24"/>
          <w:szCs w:val="24"/>
          <w:lang w:eastAsia="ru-RU"/>
        </w:rPr>
        <w:t>агро</w:t>
      </w:r>
      <w:proofErr w:type="spellEnd"/>
      <w:r w:rsidRPr="00CB09E9">
        <w:rPr>
          <w:rFonts w:ascii="Arial" w:eastAsia="Times New Roman" w:hAnsi="Arial" w:cs="Arial"/>
          <w:color w:val="000000" w:themeColor="text1"/>
          <w:sz w:val="24"/>
          <w:szCs w:val="24"/>
          <w:lang w:eastAsia="ru-RU"/>
        </w:rPr>
        <w:t xml:space="preserve">-туризма, экологического, культурно-познавательного, гастрономического и нишевых видов туризма. Проект включает в себя мероприятия, направленные на развитие культурного потенциала и эффективное использование рекреационных возможностей округа: создание туристического </w:t>
      </w:r>
      <w:proofErr w:type="spellStart"/>
      <w:r w:rsidRPr="00CB09E9">
        <w:rPr>
          <w:rFonts w:ascii="Arial" w:eastAsia="Times New Roman" w:hAnsi="Arial" w:cs="Arial"/>
          <w:color w:val="000000" w:themeColor="text1"/>
          <w:sz w:val="24"/>
          <w:szCs w:val="24"/>
          <w:lang w:eastAsia="ru-RU"/>
        </w:rPr>
        <w:t>субкластера</w:t>
      </w:r>
      <w:proofErr w:type="spellEnd"/>
      <w:r w:rsidRPr="00CB09E9">
        <w:rPr>
          <w:rFonts w:ascii="Arial" w:eastAsia="Times New Roman" w:hAnsi="Arial" w:cs="Arial"/>
          <w:color w:val="000000" w:themeColor="text1"/>
          <w:sz w:val="24"/>
          <w:szCs w:val="24"/>
          <w:lang w:eastAsia="ru-RU"/>
        </w:rPr>
        <w:t xml:space="preserve"> "Сад у дороги", с разработкой маршрутов автотуризма, велосипедных и пешеходных маршрутов и включение их в региональный туристический маршрут "Усадебное кольцо"; обновлении и реконструкции объектов культурно-исторического наследия с </w:t>
      </w:r>
      <w:r w:rsidRPr="00CB09E9">
        <w:rPr>
          <w:rFonts w:ascii="Arial" w:eastAsia="Times New Roman" w:hAnsi="Arial" w:cs="Arial"/>
          <w:color w:val="000000" w:themeColor="text1"/>
          <w:sz w:val="24"/>
          <w:szCs w:val="24"/>
          <w:lang w:eastAsia="ru-RU"/>
        </w:rPr>
        <w:lastRenderedPageBreak/>
        <w:t xml:space="preserve">привлечением частных инвестиций; создание разноуровневых подцентров притяжения туристов на базе привлекательных историко-культурных объектов, таких как д. Озерки, д. </w:t>
      </w:r>
      <w:proofErr w:type="spellStart"/>
      <w:r w:rsidRPr="00CB09E9">
        <w:rPr>
          <w:rFonts w:ascii="Arial" w:eastAsia="Times New Roman" w:hAnsi="Arial" w:cs="Arial"/>
          <w:color w:val="000000" w:themeColor="text1"/>
          <w:sz w:val="24"/>
          <w:szCs w:val="24"/>
          <w:lang w:eastAsia="ru-RU"/>
        </w:rPr>
        <w:t>Барсуково</w:t>
      </w:r>
      <w:proofErr w:type="spellEnd"/>
      <w:r w:rsidRPr="00CB09E9">
        <w:rPr>
          <w:rFonts w:ascii="Arial" w:eastAsia="Times New Roman" w:hAnsi="Arial" w:cs="Arial"/>
          <w:color w:val="000000" w:themeColor="text1"/>
          <w:sz w:val="24"/>
          <w:szCs w:val="24"/>
          <w:lang w:eastAsia="ru-RU"/>
        </w:rPr>
        <w:t>, с. Ламское, с. Пальна-Михайловка; повышение транспортной доступности туристических центров и развитие туристической навигации; развитие направлений VIP туризма, в том числе гастрономического, санаторно-рекреационного и других; развитие образовательного туризма путем включения Усадьбы Стаховичей в туристический маршрут Липецкой области, которая является пилотным регионом-участником в реализации международной программе "Классная страна"; формирование кооперативных связей сельскохозяйственных предприятий, малого бизнеса и самозанятых в сфере туризма.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Муниципальный флагманский проект "Кадры Становлянского округа"</w:t>
      </w:r>
      <w:r w:rsidRPr="00CB09E9">
        <w:rPr>
          <w:rFonts w:ascii="Arial" w:eastAsia="Times New Roman" w:hAnsi="Arial" w:cs="Arial"/>
          <w:color w:val="000000" w:themeColor="text1"/>
          <w:sz w:val="24"/>
          <w:szCs w:val="24"/>
          <w:lang w:eastAsia="ru-RU"/>
        </w:rPr>
        <w:t> направлен на удовлетворение кадровых потребностей работодателей, развитие молодежного предпринимательства в приоритетных отраслях муниципалитета. Проект включает в себя мероприятия по выявлению потребности действующих предприятий в специалистах, выявление действующих предприятий, готовых осуществлять подготовку специалистов в рамках практик ориентированного обучения, расширение информированности сельской молодежи от 14 до 25 лет о предприятиях агропромышленного комплекса Становлянского округа, возможностях трудоустройства и получения практических навыков для начала трудовой деятельности. В рамках укрепления взаимодействия школы и предприятий Становлянского округа организуются совместные мероприятия для сельской молодёжи, в том числе по профориентации. В школах Становлянского округа планируется ввести практику по обучению старшеклассников управлению самоходными машинами, с дальнейшей выдачей удостоверения "тракториста-машиниста", открытие аграрных классов. Ключевым направлением деятельности администрации округа станет популяризация идеи постройки жилья для своих сотрудников среди руководителей сельхозпредприятий.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Ожидаемые результаты:</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 привлечение новых инвесторов на территорию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 рост предпринимательской активности и вовлечение всех социальных групп населения в предпринимательскую деятельность, в том числе популяризация самозанятости;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 увеличение объема инвестиционных вложений с основной капитал действующих предприятий и вновь прибывших на территорию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 рост объемов производства и реализации сельскохозяйственной продукции;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 увеличение туристического потока и создание объектов сети общественного питания, размещения и обслуживания различных категорий отдыхающих;</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 создание новых рабочих мест;</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 повышение пополняемости бюджета Становлянского округа за счет роста налоговых поступлений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 создание условий для занятости молодёжи, обеспечение предприятий высококвалифицированными кадрами;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 сохранение и увеличение численности населения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jc w:val="center"/>
        <w:textAlignment w:val="top"/>
        <w:outlineLvl w:val="2"/>
        <w:rPr>
          <w:rFonts w:ascii="Arial" w:eastAsia="Times New Roman" w:hAnsi="Arial" w:cs="Arial"/>
          <w:b/>
          <w:bCs/>
          <w:color w:val="000000" w:themeColor="text1"/>
          <w:sz w:val="30"/>
          <w:szCs w:val="30"/>
          <w:lang w:eastAsia="ru-RU"/>
        </w:rPr>
      </w:pPr>
      <w:r w:rsidRPr="00CB09E9">
        <w:rPr>
          <w:rFonts w:ascii="Arial" w:eastAsia="Times New Roman" w:hAnsi="Arial" w:cs="Arial"/>
          <w:b/>
          <w:bCs/>
          <w:color w:val="000000" w:themeColor="text1"/>
          <w:sz w:val="30"/>
          <w:szCs w:val="30"/>
          <w:lang w:eastAsia="ru-RU"/>
        </w:rPr>
        <w:t>Раздел 6. Сроки, этапы, сценарии и ожидаемые результаты реализации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6.1. Сроки, этапы и сценарии реализации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Стратегия определена на 6 лет (2025 - 2030 гг.) и предполагает два трехлетних этапа (стартовый этап 2025 - 2027 гг. и 2028 - 2030 гг.). Указанные этапы определены с учетом сроков реализации национальных проектов, государственных и муниципальных программ, а также с учетом сроков, определенных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требований к длительности долгосрочного периода планирования в соответствии с законодательством о стратегическом планировании. При этом в 2027 г. может быть предусмотрена корректировка Стратегии. Этапы реализации различаются по условиям, факторам, рискам социально-экономического развития и приоритетам экономической политики Становлянского округа и Липецкой области.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Первый этап (2025 - 2027 гг.) базируется на реализации и расширении тех конкурентных преимуществ, которыми обладает экономика округа, с целью повышения эффективности и управляемости экономики, роста качества человеческого капитала и формирования предпосылок технологического развития, роста конкурентоспособности и устойчивости. На данном этапе необходимо будет структурировать систему государственных механизмов развития с формированием портфеля флагманских проектов. В рамках стартового этапа будет осуществляться проработка и запуск приоритетных проектов, входящих в портфель флагманских проектов Становлянского округа Липецкой области. Темпы роста окружной экономики будут низкими в силу ряда глобальных и российских факторов: сохранятся значительные риски, связанные с СВО, геополитического кризиса, сохранения международных санкций. Высоки риски ухудшения экономической ситуации и возможного продолжения спада российской экономики в целом, что, в свою очередь, создает риски недостижения целевых значений показателей реализации Стратегии на данном этапе и обуславливает вероятность корректировок системы стратегических документов Становлянского округа по завершении первого этапа.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Второй этап (2028 - 2030 гг.) предусматривает стабилизацию социальной ситуации и экономики в Становлянского округа. В рамках данного этапа в полном объеме будут запущены флагманские проекты, удастся обеспечить значительное улучшение качества человеческого капитала. Экономика Становлянского округа постепенно избавится от устаревших производств и технологий и перейдет на рациональную модель. Территория Становлянского округа будет развиваться в соответствии с утвержденными документами территориального планирования и градостроительного зонирования, будет обеспечена устойчивость функционирования сферы жилищно-коммунального хозяйства.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Необходимость сценарного представления реализации Стратегии обусловлена степенью влияния угроз, отраженных в разделе 2.3 "SWOT -анализ социально-экономического развития Становлянского округа", рисками, связанными с демографическим развитием округа, состоянием экономики и инвестиционной активности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Для определения экономического и институционального контекста, в рамках которого предстоит развиваться </w:t>
      </w:r>
      <w:proofErr w:type="spellStart"/>
      <w:r w:rsidRPr="00CB09E9">
        <w:rPr>
          <w:rFonts w:ascii="Arial" w:eastAsia="Times New Roman" w:hAnsi="Arial" w:cs="Arial"/>
          <w:color w:val="000000" w:themeColor="text1"/>
          <w:sz w:val="24"/>
          <w:szCs w:val="24"/>
          <w:lang w:eastAsia="ru-RU"/>
        </w:rPr>
        <w:t>Становлянскому</w:t>
      </w:r>
      <w:proofErr w:type="spellEnd"/>
      <w:r w:rsidRPr="00CB09E9">
        <w:rPr>
          <w:rFonts w:ascii="Arial" w:eastAsia="Times New Roman" w:hAnsi="Arial" w:cs="Arial"/>
          <w:color w:val="000000" w:themeColor="text1"/>
          <w:sz w:val="24"/>
          <w:szCs w:val="24"/>
          <w:lang w:eastAsia="ru-RU"/>
        </w:rPr>
        <w:t xml:space="preserve"> округу, а также для определения возможностей и ограничений при формировании и реализации окружной политики с учетом различных комбинаций факторов и тенденций разработаны следующие три сценария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 сценарий характеризуется сохранением текущих демографических тенденций. Это умеренный рост рождаемости, не увеличение смертности населения.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Будет обеспечено сохранение инфраструктуры Становлянского округа. Социальное благополучие населения будет поддерживаться на достигнутом уровне.</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Экономическое развитие характеризуется невысокими долгосрочными темпами роста экономики. Основной опорой останутся сегменты обрабатывающих производств, умеренными темпами будет развиваться сельское хозяйство.</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инвестиционной деятельности будет преобладать реализация инвестиционных проектов существующих предприятий и инвесторов. Ожидается, что действующие инструменты привлечения и сопровождения инвестиционных проектов будут обеспечивать умеренный темп роста инвестиций.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 Становлянского округа будет ориентирован на обеспечение текущей деятельности и выполнение социальных обязательств при сдержанном финансировании направлений развития экономики.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 сценарий характеризуется стабилизацией демографической ситуации: ростом рождаемости, снижением смертности и повышением ожидаемой продолжительности жизни, незначительным миграционным приростом. Также будут происходить улучшения в динамике процессов изменения параметров уровня жизни населения области, сформируются благоприятные условия для создания и увеличения семей.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Положительные изменения наблюдаются в инфраструктуре региона, улучшается ее качественное состояние, в том числе за счет реализации инфраструктурных проектов с привлечением частных инвестиций.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Это сопровождается положительными сдвигами в социальной сфере. Повышается доступность социальных услуг и благ для жителей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Экономика развивается поступательно. Экономический рост обеспечивается повышением конкурентоспособности бизнеса, формированием условий для конкуренции и реализацией перспективных инвестиционных проектов в традиционных секторах экономики.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 сценарий характеризуется благоприятными демографическими и миграционными трендами: ростом рождаемости, снижением смертности, повышением ожидаемой продолжительности жизни. Наблюдается устойчивый миграционный прирост трудоспособного населения. Благоприятные условия для получения конкурентоспособного высшего образования, а также для самореализации способствуют прекращению миграционного оттока молодежи из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Сформированы комфортные условия для жизни, работы, получения образования, создания семьи и воспитания детей.</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 сценарий предполагает интенсивное развитие экономики, привлечение и реализацию на территории Становлянского округа крупных инвестиционных проектов. В экономике предполагаются структурные сдвиги в сторону увеличения производства инновационной продукции высокотехнологичных и наукоемких отраслей. Ожидается приток внебюджетных инвестиций в округ, открытие новых производств, создание высокопроизводительных рабочих мест с конкурентоспособным уровнем оплаты труда.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реального сектора экономики обеспечит прирост налоговых поступлений в окружной бюджет, что, в свою очередь, позволит наиболее эффективно решать поставленные задачи в сфере социального развития округа и повышения уровня и качества жизни, а также в сфере дальнейшего развития экономики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Выше представленные сценарии приняты в качестве основных сценариев долгосрочного социально-экономического развития Становлянского округа, в </w:t>
      </w:r>
      <w:r w:rsidRPr="00CB09E9">
        <w:rPr>
          <w:rFonts w:ascii="Arial" w:eastAsia="Times New Roman" w:hAnsi="Arial" w:cs="Arial"/>
          <w:color w:val="000000" w:themeColor="text1"/>
          <w:sz w:val="24"/>
          <w:szCs w:val="24"/>
          <w:lang w:eastAsia="ru-RU"/>
        </w:rPr>
        <w:lastRenderedPageBreak/>
        <w:t>соответствии с параметрами которых определены количественные значения показателей достижения целей социально-экономического развития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Данные сценарии развития базируются на единой стратегической цели и задачах, но ожидаемая степень их достижения по целевому сценарию является более высокой. Предполагается, что социально-экономическое развитие Становлянского округа будет ориентировано на достижение значений показателей базового сценария развития.</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Тем не менее, учитывая сложность прогнозирования макроэкономических показателей на долгосрочный период, ожидается, что социально-экономическое развитие Становлянского округа в разные периоды времени будет проходить по разным сценариям. В связи с этим деятельность участников стратегического планирования по реализации Стратегии будет корректироваться планом мероприятий по реализации Стратегии с учетом текущей социально-экономической ситуации.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6.2. Целевые индикаторы реализации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соответствии с Федеральным законом </w:t>
      </w:r>
      <w:hyperlink r:id="rId46" w:history="1">
        <w:r w:rsidRPr="00CB09E9">
          <w:rPr>
            <w:rFonts w:ascii="Arial" w:eastAsia="Times New Roman" w:hAnsi="Arial" w:cs="Arial"/>
            <w:color w:val="000000" w:themeColor="text1"/>
            <w:sz w:val="24"/>
            <w:szCs w:val="24"/>
            <w:lang w:eastAsia="ru-RU"/>
          </w:rPr>
          <w:t>от 28 июня 2014 года № 172-ФЗ</w:t>
        </w:r>
      </w:hyperlink>
      <w:r w:rsidRPr="00CB09E9">
        <w:rPr>
          <w:rFonts w:ascii="Arial" w:eastAsia="Times New Roman" w:hAnsi="Arial" w:cs="Arial"/>
          <w:color w:val="000000" w:themeColor="text1"/>
          <w:sz w:val="24"/>
          <w:szCs w:val="24"/>
          <w:lang w:eastAsia="ru-RU"/>
        </w:rPr>
        <w:t> "О стратегическом планировании в Российской Федерации" результаты социально-экономического развития характеризуются количественными и (или) качественными показателями. Качественные показатели отражены в ожидаемых результатах до 2030 года в разделе 4 настоящей Стратегии по каждому стратегическому направлению.</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Количественные целевые индикаторы реализации Стратегии также сформированы на основании ожидаемых результатов реализации стратегических направлений и отражены в таблице 6.2.1.</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6.2.1.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Количественные целевые индикаторы реализации Стратегии</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2"/>
        <w:gridCol w:w="2221"/>
        <w:gridCol w:w="829"/>
        <w:gridCol w:w="831"/>
        <w:gridCol w:w="831"/>
        <w:gridCol w:w="831"/>
        <w:gridCol w:w="831"/>
        <w:gridCol w:w="831"/>
        <w:gridCol w:w="831"/>
        <w:gridCol w:w="831"/>
      </w:tblGrid>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показателя</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Направление 1: создание комфортных условий для жизни и развития населения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Демография</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Численность населения, чел</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16209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16046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15886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15727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15570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15414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16260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16094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15933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15773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15615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15459</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16537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16786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16869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16954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17000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Общий коэффициент рождаемости (на 1000 чел. населения),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Общий коэффициент смертности (на 1000 чел. населения),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14,9</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Миграционный прирост, чел.</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161</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Сфера занятости</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Среднесписочная численность работников организаций, чел.</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2435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2440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2448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2618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2670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2723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2544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2582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2820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Среднемесячная заработная плата, руб.</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52180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52701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54228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55760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57432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61115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65930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52608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55238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57999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60898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63942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67139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70495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55796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60259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63875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67765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69120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72194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Численность зарегистрированных безработных, человек</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Уровень официально зарегистрированной безработицы,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Здравоохранение</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Продолжительность жизни, лет</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71,9</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Удовлетворённость населения медицинской помощью,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Образование</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11</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Культура и молодёжная политика</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Удельный вес населения, участвующего в культурно-досуговых мероприятиях,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761,8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750,2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763,7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764,1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764,5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764,8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Среднемесячная номинальная начисленная заработная плата работников муниципальных учреждений культуры и искусства, руб.</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41847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48124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52936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55582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58361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61280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64344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67562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41847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49555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53718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57478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61272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64948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67546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70248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41847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50216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57748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61212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64885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66428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70413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74638</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Физическая культура и спорт</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населения, систематически занимающегося физической культурой и спортом, в общей численности населения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спортивных сооружений на 1000 человек населения, ед.</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7,7</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Направление 2: создание условий приоритетного развития динамичной экономики и успешного предпринимательства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Агропромышленный комплекс</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Валовая продукция сельского хозяйства в хозяйствах всех категорий в текущих ценах, млн. руб.</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710,9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723,4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790,5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690,8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769,6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792,7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841</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747,5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784,5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792,7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849,1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874,6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Валовый сбор зерновых и зернобобовых культур, тыс. тонн</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274,3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295,7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301,7</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289,5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298,3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304,5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333,8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390,5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439,3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Производство скота и птицы на убой в живом весе, тонн</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1095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1140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1150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1165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1095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1196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1232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1269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1310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1095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1230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1304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1382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1553</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Экономика</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Число субъектов малого и среднего предпринимательства в расчете на 10 тыс. чел. населения, ед.</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60,1</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Объем инвестиций в основной капитал (за исключением бюджетных средств) в расчете на 1 жителя, рублей</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44556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45002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45451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45906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46365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46829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47297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47770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44556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46784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49123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51579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53126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54720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56361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58052</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44556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47229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49590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52566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55198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55200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57960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60858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Розничный товарооборот, млн. руб.</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6006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5743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6036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5633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6032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6277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6340</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Туризм</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Туристический поток, тыс. человек</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22,5</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29,1</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22,1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31,8</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26</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Количество номерного фонда, шт.</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Направление 3: создание условий приоритетного развития конкурентоспособной экономики и успешного предпринимательства</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Жилищно-коммунальное хозяйство</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27</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Общий ввод жилья, кв. м.</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3224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3358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3390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3442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3582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3630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3685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3726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3800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4700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5000</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Транспортная инфраструктура</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28</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58,09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59,33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58,51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60,35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60,94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61,1</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64,19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67,77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68,26</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29</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41,91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41,29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41,08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40,88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40,67</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40,87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39,65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39,06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38,47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37,9</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35,81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35,27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34,22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32,23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31,74</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Направление 4: организация муниципального управления</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 </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местного сообщества</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30</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Удовлетворенность населения деятельностью органов местного самоуправления,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рублей</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7722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7799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7877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7956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8036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8190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8554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8642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8728</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8904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8993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6656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8492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8571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8662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8837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8925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9014</w:t>
            </w:r>
          </w:p>
        </w:tc>
      </w:tr>
      <w:tr w:rsidR="008C7515" w:rsidRPr="008C7515" w:rsidTr="008C7515">
        <w:tc>
          <w:tcPr>
            <w:tcW w:w="5000" w:type="pct"/>
            <w:gridSpan w:val="10"/>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Бюджетная политика</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Исполнение бюджета Становлянского округа по доходам (без учёта безвозмездных поступлений) к утверждённому плану,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124,4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124,4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125,3</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w:t>
            </w:r>
          </w:p>
        </w:tc>
        <w:tc>
          <w:tcPr>
            <w:tcW w:w="4748" w:type="pct"/>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32,45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35,26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24,12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34,56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39,25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42,79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44,9</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w:t>
            </w:r>
          </w:p>
        </w:tc>
      </w:tr>
      <w:tr w:rsidR="008C7515" w:rsidRPr="008C7515" w:rsidTr="008C7515">
        <w:tc>
          <w:tcPr>
            <w:tcW w:w="25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1189"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44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31,2</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25,74</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35,6</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40,1</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43,3</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46,7</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50,5</w:t>
            </w:r>
          </w:p>
        </w:tc>
        <w:tc>
          <w:tcPr>
            <w:tcW w:w="44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54,5</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В целях взаимосвязи документов стратегического планирования на уровне муниципального образования целевыми индикаторами реализации Стратегии являются также показатели муниципальных программ Становлянского округа, прогноза социально-экономического развития Становлянского округа на среднесрочный и долгосрочный периоды, бюджетного прогноза Становлянского округа.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6.3. Оценка финансовых ресурсов, необходимых для реализации Стратегии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Перспективы и темпы социально-экономического развития Становлянского округа во многом будут определяться объемами инвестиций и реализацией инвестиционных проектов и программ. Для обеспечения реализации Стратегии будут привлекаться средства из различных источников: бюджетные средства и внебюджетные средства. Бюджетные источники финансирования включают, в </w:t>
      </w:r>
      <w:r w:rsidRPr="00CB09E9">
        <w:rPr>
          <w:rFonts w:ascii="Arial" w:eastAsia="Times New Roman" w:hAnsi="Arial" w:cs="Arial"/>
          <w:color w:val="000000" w:themeColor="text1"/>
          <w:sz w:val="24"/>
          <w:szCs w:val="24"/>
          <w:lang w:eastAsia="ru-RU"/>
        </w:rPr>
        <w:lastRenderedPageBreak/>
        <w:t>первую очередь, бюджет Становлянского округа, формирующийся из налоговых и неналоговых доходов, безвозмездных поступлений. Федеральные и региональные средства в бюджет округа могут быть привлечены в виде дотаций, субсидий или субвенций и иных межбюджетных трансферов. Достижение целей и реализация задач социально-экономического развития Становлянского округа, определенных Стратегией, предусматривает участие не только органов местного самоуправления, но и иных организаций и предприятий Становлянского округа. Поэтому при оценке финансового обеспечения реализации Стратегии следует учитывать внебюджетные средства, привлекаемые от физических и юридических лиц. Одним из инструментов привлечения внебюджетных источников финансирования является государственно-частное, концессионные соглашения, в том числе реализуемые при участии частных инвесторов для реализации в округе инвестиционных и инфраструктурных проектов. Также в рамках привлечения внебюджетных инвестиций особое внимание следует уделять инвестиционной привлекательности Становлянского округа, созданию благоприятных условий ведения бизнеса российских инвесторов, оказанию содействия созданию инфраструктуры в рамках реализации новых инвестиционных проектов, поддержке малого и среднего предпринимательства, предоставлению налоговых льгот и иных механизмов стимулирования инвестиционной деятельности. Целью таких мер должно стать привлечение инвестиций в различные сферы экономики Становлянского округа, что будет способствовать расширению производств, увеличению налоговых поступлений в бюджет Становлянского округа, росту экономики и планомерному повышению качества жизни в Становлянском округе. Объём бюджетных средств подлежит ежегодному уточнению при разработке соответствующего бюджета исходя из его возможностей.</w:t>
      </w:r>
    </w:p>
    <w:p w:rsidR="00CB09E9" w:rsidRPr="00CB09E9" w:rsidRDefault="00CB09E9" w:rsidP="00CB09E9">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Таблица 6.3.1.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Оценка финансовых ресурсов реализации Стратегии (базовый сценарий)</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722"/>
        <w:gridCol w:w="879"/>
        <w:gridCol w:w="745"/>
        <w:gridCol w:w="745"/>
        <w:gridCol w:w="745"/>
        <w:gridCol w:w="745"/>
        <w:gridCol w:w="879"/>
        <w:gridCol w:w="879"/>
      </w:tblGrid>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Статья бюджета</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2028</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2029</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Прогноз доходов и расходов бюджета, млн руб.</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Доходы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1084,6</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976,5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989,8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942,8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991</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1006,3</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1021,4</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Налоговые доходы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443,0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449,4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454,7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459</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463,8</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468,4</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Неналоговые доходы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52,5</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53</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Безвозмездные поступления</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596,6</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482,4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489,4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436,6</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480,0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490,0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500,0</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Расходы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1103,4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986,7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849,7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815,5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991,0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1006,3</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1021,4</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общегосударственные вопросы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206,2</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176,4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122,9</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138,7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185,2</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188,1</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190,9</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национальная оборона</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2,3</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2,1</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нац. безопасность и правоохранительная деятельность</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8,6</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национальная экономика</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94,0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72,9</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45,1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84,4</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85,7</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87</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жилищно-коммунальное хозяйство</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124,4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117,5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120,9</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142,9</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111,7</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113,4</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115,1</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охрана окружающей среды</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1,3</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0,2</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1,2</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образование</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518,6</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465,8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461,0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378,4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465,8</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473,0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480</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культура, кинематография</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93,0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92,4</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93,8</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95,2</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социальная политика</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35,9</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40,4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33,4</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32,2</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32,7</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33,2</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физическая культура и спорт</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0,7</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0,9</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0,9</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0,9</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средства массовой информации</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7,5</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4,1</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6,8</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w:t>
            </w:r>
          </w:p>
        </w:tc>
      </w:tr>
      <w:tr w:rsidR="008C7515" w:rsidRPr="008C7515" w:rsidTr="008C7515">
        <w:tc>
          <w:tcPr>
            <w:tcW w:w="20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обслуживание государственного и муниципального долга</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39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c>
          <w:tcPr>
            <w:tcW w:w="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0</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Прогноз доходов и расходов бюджета представляет собой оценку потенциала изменения соответствующих статей бюджета в привязке к реализации базового сценария, не является бюджетным прогнозом. Бюджетный прогноз на долгосрочный период формируется в соответствии с федеральным, региональным и муниципальным законодательством.</w:t>
      </w:r>
    </w:p>
    <w:p w:rsid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6A7ECE" w:rsidP="006A7ECE">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6A7ECE">
        <w:rPr>
          <w:rFonts w:ascii="Arial" w:eastAsia="Times New Roman" w:hAnsi="Arial" w:cs="Arial"/>
          <w:color w:val="000000" w:themeColor="text1"/>
          <w:sz w:val="24"/>
          <w:szCs w:val="24"/>
          <w:lang w:eastAsia="ru-RU"/>
        </w:rPr>
        <w:t>Глава Становлянского округа</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6A7ECE">
        <w:rPr>
          <w:rFonts w:ascii="Arial" w:eastAsia="Times New Roman" w:hAnsi="Arial" w:cs="Arial"/>
          <w:color w:val="000000" w:themeColor="text1"/>
          <w:sz w:val="24"/>
          <w:szCs w:val="24"/>
          <w:lang w:eastAsia="ru-RU"/>
        </w:rPr>
        <w:t>Д.Ю. Семянников</w:t>
      </w: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8C7515" w:rsidRPr="00CB09E9" w:rsidRDefault="008C751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Приложение 1</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 Стратегии социально-экономического развития</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Становлянского муниципального округа</w:t>
      </w:r>
    </w:p>
    <w:p w:rsidR="00CB09E9" w:rsidRPr="00CB09E9" w:rsidRDefault="00CB09E9" w:rsidP="008C751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Перспективные инвестиционные проекты, направленные на реализацию Стратегии соц</w:t>
      </w:r>
      <w:r w:rsidR="00FD2A43">
        <w:rPr>
          <w:rFonts w:ascii="Arial" w:eastAsia="Times New Roman" w:hAnsi="Arial" w:cs="Arial"/>
          <w:b/>
          <w:bCs/>
          <w:color w:val="000000" w:themeColor="text1"/>
          <w:sz w:val="24"/>
          <w:szCs w:val="24"/>
          <w:lang w:eastAsia="ru-RU"/>
        </w:rPr>
        <w:t xml:space="preserve">иально-экономического развития </w:t>
      </w:r>
      <w:bookmarkStart w:id="0" w:name="_GoBack"/>
      <w:bookmarkEnd w:id="0"/>
      <w:r w:rsidRPr="00CB09E9">
        <w:rPr>
          <w:rFonts w:ascii="Arial" w:eastAsia="Times New Roman" w:hAnsi="Arial" w:cs="Arial"/>
          <w:b/>
          <w:bCs/>
          <w:color w:val="000000" w:themeColor="text1"/>
          <w:sz w:val="24"/>
          <w:szCs w:val="24"/>
          <w:lang w:eastAsia="ru-RU"/>
        </w:rPr>
        <w:t>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5235"/>
        <w:gridCol w:w="310"/>
        <w:gridCol w:w="3362"/>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80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элеватора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80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Инвестор</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ООО "Альтаир-Липецк"</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80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элеватора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80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- 1000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- 2025 - 2028 годы;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создание рабочих мест - 40</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280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собственные, заемные средства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3517"/>
        <w:gridCol w:w="310"/>
        <w:gridCol w:w="5080"/>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2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фермы по разведению и выращиванию улиток</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Инвестор</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2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ООО "ЕВРОМИКС"</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2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фермы по разведению и выращиванию улиток с целью последующей реализации на мясо, а также для производства других продуктов</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2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- 2025 - 2027 годы;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создание рабочих мест - 20</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2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собственные, заемные средства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927"/>
        <w:gridCol w:w="310"/>
        <w:gridCol w:w="3671"/>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маслодельного завода</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Инвестор</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ООО "Становлянский маслодельный завод"</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маслодельного завода в с. Соловьево</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- 10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создание рабочих мест - 10</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собственные, заемные средства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4161"/>
        <w:gridCol w:w="310"/>
        <w:gridCol w:w="4436"/>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22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37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Расширение посадочных площадей яблоневых садов</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22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Инвестор</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37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ООО "</w:t>
            </w:r>
            <w:proofErr w:type="spellStart"/>
            <w:r w:rsidRPr="00CB09E9">
              <w:rPr>
                <w:rFonts w:ascii="Arial" w:eastAsia="Times New Roman" w:hAnsi="Arial" w:cs="Arial"/>
                <w:color w:val="000000" w:themeColor="text1"/>
                <w:sz w:val="24"/>
                <w:szCs w:val="24"/>
                <w:lang w:eastAsia="ru-RU"/>
              </w:rPr>
              <w:t>ЭкоСад</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22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37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Расширение посадочных площадей яблоневых садов с системой капельного орошения на 20 га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22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37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- 2026 - 2027 годы;</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создание рабочих мест - 10</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222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37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собственные, заемные средства</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4647"/>
        <w:gridCol w:w="310"/>
        <w:gridCol w:w="3950"/>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48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детского сада "Теремок"</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48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детского сада "Теремок" в с. Становое на 220 мест</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48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- 363,11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- 2029 - 2030 годы</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488"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6</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5256"/>
        <w:gridCol w:w="310"/>
        <w:gridCol w:w="3342"/>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Строительство школы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школы в д. </w:t>
            </w:r>
            <w:proofErr w:type="spellStart"/>
            <w:r w:rsidRPr="00CB09E9">
              <w:rPr>
                <w:rFonts w:ascii="Arial" w:eastAsia="Times New Roman" w:hAnsi="Arial" w:cs="Arial"/>
                <w:color w:val="000000" w:themeColor="text1"/>
                <w:sz w:val="24"/>
                <w:szCs w:val="24"/>
                <w:lang w:eastAsia="ru-RU"/>
              </w:rPr>
              <w:t>Лукьяновка</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- 490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- 2026 - 2027 годы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7</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5093"/>
        <w:gridCol w:w="310"/>
        <w:gridCol w:w="3504"/>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72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школы</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72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школы в с. Дмитриевка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3.</w:t>
            </w:r>
          </w:p>
        </w:tc>
        <w:tc>
          <w:tcPr>
            <w:tcW w:w="272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- 56,7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72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7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8</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5172"/>
        <w:gridCol w:w="310"/>
        <w:gridCol w:w="3426"/>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школы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здания школы в с. </w:t>
            </w:r>
            <w:proofErr w:type="spellStart"/>
            <w:r w:rsidRPr="00CB09E9">
              <w:rPr>
                <w:rFonts w:ascii="Arial" w:eastAsia="Times New Roman" w:hAnsi="Arial" w:cs="Arial"/>
                <w:color w:val="000000" w:themeColor="text1"/>
                <w:sz w:val="24"/>
                <w:szCs w:val="24"/>
                <w:lang w:eastAsia="ru-RU"/>
              </w:rPr>
              <w:t>Тростное</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- 69,7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9</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5140"/>
        <w:gridCol w:w="310"/>
        <w:gridCol w:w="3457"/>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75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5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здания школы </w:t>
            </w:r>
            <w:proofErr w:type="spellStart"/>
            <w:r w:rsidRPr="00CB09E9">
              <w:rPr>
                <w:rFonts w:ascii="Arial" w:eastAsia="Times New Roman" w:hAnsi="Arial" w:cs="Arial"/>
                <w:color w:val="000000" w:themeColor="text1"/>
                <w:sz w:val="24"/>
                <w:szCs w:val="24"/>
                <w:lang w:eastAsia="ru-RU"/>
              </w:rPr>
              <w:t>с.Соловьёво</w:t>
            </w:r>
            <w:proofErr w:type="spellEnd"/>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75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5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Капитальный ремонт здания школы в </w:t>
            </w:r>
            <w:proofErr w:type="spellStart"/>
            <w:r w:rsidRPr="00CB09E9">
              <w:rPr>
                <w:rFonts w:ascii="Arial" w:eastAsia="Times New Roman" w:hAnsi="Arial" w:cs="Arial"/>
                <w:color w:val="000000" w:themeColor="text1"/>
                <w:sz w:val="24"/>
                <w:szCs w:val="24"/>
                <w:lang w:eastAsia="ru-RU"/>
              </w:rPr>
              <w:t>с.Соловьёво</w:t>
            </w:r>
            <w:proofErr w:type="spellEnd"/>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75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5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-65,19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- 2029 год</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752"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5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10</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4443"/>
        <w:gridCol w:w="310"/>
        <w:gridCol w:w="4154"/>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37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детского сада "Дубравушка"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37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детского сада "Дубравушка" в с. Толстая Дубрава</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37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- 27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- 2030 год</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37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952"/>
        <w:gridCol w:w="310"/>
        <w:gridCol w:w="3646"/>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Дмитриевка"</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Дмитриевка"</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- 28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- 2025 - 2026 годы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2"/>
        <w:gridCol w:w="5013"/>
        <w:gridCol w:w="310"/>
        <w:gridCol w:w="3584"/>
      </w:tblGrid>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Чернолес</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Чернолес</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tc>
      </w:tr>
      <w:tr w:rsidR="008C7515" w:rsidRPr="008C7515" w:rsidTr="00EB6AC5">
        <w:tc>
          <w:tcPr>
            <w:tcW w:w="2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1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45"/>
        <w:gridCol w:w="5178"/>
        <w:gridCol w:w="224"/>
        <w:gridCol w:w="3592"/>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МБУК "</w:t>
            </w:r>
            <w:proofErr w:type="spellStart"/>
            <w:r w:rsidRPr="00CB09E9">
              <w:rPr>
                <w:rFonts w:ascii="Arial" w:eastAsia="Times New Roman" w:hAnsi="Arial" w:cs="Arial"/>
                <w:color w:val="000000" w:themeColor="text1"/>
                <w:sz w:val="24"/>
                <w:szCs w:val="24"/>
                <w:lang w:eastAsia="ru-RU"/>
              </w:rPr>
              <w:t>ЦКиД</w:t>
            </w:r>
            <w:proofErr w:type="spellEnd"/>
            <w:r w:rsidRPr="00CB09E9">
              <w:rPr>
                <w:rFonts w:ascii="Arial" w:eastAsia="Times New Roman" w:hAnsi="Arial" w:cs="Arial"/>
                <w:color w:val="000000" w:themeColor="text1"/>
                <w:sz w:val="24"/>
                <w:szCs w:val="24"/>
                <w:lang w:eastAsia="ru-RU"/>
              </w:rPr>
              <w:t xml:space="preserve">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785"/>
        <w:gridCol w:w="310"/>
        <w:gridCol w:w="3813"/>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бассейна</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здания бассейна "Дельфин" в с. Становое</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- 150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- 2026 - 2027 годы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742"/>
        <w:gridCol w:w="310"/>
        <w:gridCol w:w="3856"/>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здания районной поликлиники</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здания Поликлиники ГУЗ "Становлянская РБ"</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- 130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- 2025 - 2026 годы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16</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5160"/>
        <w:gridCol w:w="310"/>
        <w:gridCol w:w="3438"/>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w:t>
            </w:r>
            <w:proofErr w:type="spellStart"/>
            <w:r w:rsidRPr="00CB09E9">
              <w:rPr>
                <w:rFonts w:ascii="Arial" w:eastAsia="Times New Roman" w:hAnsi="Arial" w:cs="Arial"/>
                <w:color w:val="000000" w:themeColor="text1"/>
                <w:sz w:val="24"/>
                <w:szCs w:val="24"/>
                <w:lang w:eastAsia="ru-RU"/>
              </w:rPr>
              <w:t>ФАПов</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Строительство </w:t>
            </w:r>
            <w:proofErr w:type="spellStart"/>
            <w:r w:rsidRPr="00CB09E9">
              <w:rPr>
                <w:rFonts w:ascii="Arial" w:eastAsia="Times New Roman" w:hAnsi="Arial" w:cs="Arial"/>
                <w:color w:val="000000" w:themeColor="text1"/>
                <w:sz w:val="24"/>
                <w:szCs w:val="24"/>
                <w:lang w:eastAsia="ru-RU"/>
              </w:rPr>
              <w:t>ФАПов</w:t>
            </w:r>
            <w:proofErr w:type="spellEnd"/>
            <w:r w:rsidRPr="00CB09E9">
              <w:rPr>
                <w:rFonts w:ascii="Arial" w:eastAsia="Times New Roman" w:hAnsi="Arial" w:cs="Arial"/>
                <w:color w:val="000000" w:themeColor="text1"/>
                <w:sz w:val="24"/>
                <w:szCs w:val="24"/>
                <w:lang w:eastAsia="ru-RU"/>
              </w:rPr>
              <w:t xml:space="preserve"> в с. </w:t>
            </w:r>
            <w:proofErr w:type="spellStart"/>
            <w:r w:rsidRPr="00CB09E9">
              <w:rPr>
                <w:rFonts w:ascii="Arial" w:eastAsia="Times New Roman" w:hAnsi="Arial" w:cs="Arial"/>
                <w:color w:val="000000" w:themeColor="text1"/>
                <w:sz w:val="24"/>
                <w:szCs w:val="24"/>
                <w:lang w:eastAsia="ru-RU"/>
              </w:rPr>
              <w:t>Злобино</w:t>
            </w:r>
            <w:proofErr w:type="spellEnd"/>
            <w:r w:rsidRPr="00CB09E9">
              <w:rPr>
                <w:rFonts w:ascii="Arial" w:eastAsia="Times New Roman" w:hAnsi="Arial" w:cs="Arial"/>
                <w:color w:val="000000" w:themeColor="text1"/>
                <w:sz w:val="24"/>
                <w:szCs w:val="24"/>
                <w:lang w:eastAsia="ru-RU"/>
              </w:rPr>
              <w:t xml:space="preserve"> и д. </w:t>
            </w:r>
            <w:proofErr w:type="spellStart"/>
            <w:r w:rsidRPr="00CB09E9">
              <w:rPr>
                <w:rFonts w:ascii="Arial" w:eastAsia="Times New Roman" w:hAnsi="Arial" w:cs="Arial"/>
                <w:color w:val="000000" w:themeColor="text1"/>
                <w:sz w:val="24"/>
                <w:szCs w:val="24"/>
                <w:lang w:eastAsia="ru-RU"/>
              </w:rPr>
              <w:t>Бродки</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17</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195"/>
        <w:gridCol w:w="310"/>
        <w:gridCol w:w="4403"/>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Мемориальная зона в с. Грунин-Воргол</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Мемориальная зона с Аллей Славы "Никто не забыт -ничто не забыто" в с. Грунин-Воргол</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- 4,3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18</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1"/>
        <w:gridCol w:w="4418"/>
        <w:gridCol w:w="310"/>
        <w:gridCol w:w="4180"/>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Обустройство сквера им. В.Н. Фатьянова</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Обустройство сквера им. В.Н. Фатьянова с установкой фонтана в д. </w:t>
            </w:r>
            <w:proofErr w:type="spellStart"/>
            <w:r w:rsidRPr="00CB09E9">
              <w:rPr>
                <w:rFonts w:ascii="Arial" w:eastAsia="Times New Roman" w:hAnsi="Arial" w:cs="Arial"/>
                <w:color w:val="000000" w:themeColor="text1"/>
                <w:sz w:val="24"/>
                <w:szCs w:val="24"/>
                <w:lang w:eastAsia="ru-RU"/>
              </w:rPr>
              <w:t>Лукьяновка</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- 5,3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- 2025 - 2026 годы</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19</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5166"/>
        <w:gridCol w:w="316"/>
        <w:gridCol w:w="3418"/>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7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Благоустройство сквера в с. Березовка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2.</w:t>
            </w:r>
          </w:p>
        </w:tc>
        <w:tc>
          <w:tcPr>
            <w:tcW w:w="27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Благоустройство сквера в с. Березовка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7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- 8,3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- 2025 - 2026 годы</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7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8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20</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8"/>
        <w:gridCol w:w="3818"/>
        <w:gridCol w:w="316"/>
        <w:gridCol w:w="4767"/>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04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04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автомобильных дорог (асфальтобетонное дорожное покрытие) 4 участков в с. Становое</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04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- 220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- 2,87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- 20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04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485"/>
        <w:gridCol w:w="316"/>
        <w:gridCol w:w="5099"/>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Капитальный ремонт автомобильных дорог (асфальтобетонное дорожное покрытие) 3 участков дорог в двух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8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- 38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- 1,4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- 7,5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86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31"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573"/>
        <w:gridCol w:w="316"/>
        <w:gridCol w:w="5011"/>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91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91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(асфальтобетонное дорожное покрытие) 13 участков дорог в девяти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91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- 37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протяженность дорожного покрытия - 6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- 27,5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4.</w:t>
            </w:r>
          </w:p>
        </w:tc>
        <w:tc>
          <w:tcPr>
            <w:tcW w:w="191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8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717"/>
        <w:gridCol w:w="316"/>
        <w:gridCol w:w="4867"/>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9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9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(щебеночное дорожное покрытие) 21 участков дорог в шестнадцати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9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- 59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- 17,5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- 68,5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9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517"/>
        <w:gridCol w:w="316"/>
        <w:gridCol w:w="5067"/>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(асфальтобетонное дорожное покрытие) 15 участков дорог в одиннадцати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- 58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- 9,5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- 42,5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88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14"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8"/>
        <w:gridCol w:w="3736"/>
        <w:gridCol w:w="316"/>
        <w:gridCol w:w="4849"/>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0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0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(щебеночное дорожное покрытие) 18 участков дорог в пятнадцати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0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- 43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- 13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- 51,5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4.</w:t>
            </w:r>
          </w:p>
        </w:tc>
        <w:tc>
          <w:tcPr>
            <w:tcW w:w="200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59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26</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530"/>
        <w:gridCol w:w="316"/>
        <w:gridCol w:w="5054"/>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8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8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(асфальтобетонное дорожное покрытие) 22 участков дорог в пятнадцати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8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- 96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- 15,7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- 71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89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706"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27</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39"/>
        <w:gridCol w:w="3711"/>
        <w:gridCol w:w="316"/>
        <w:gridCol w:w="4873"/>
      </w:tblGrid>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19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1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19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1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Ремонт автомобильных дорог (щебеночное дорожное покрытие) 26 участков дорог в девятнадцати населенных пунктах округа</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19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1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- 77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дорожного покрытия - 23 км.;</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мощность - 90 тыс. </w:t>
            </w:r>
            <w:proofErr w:type="spellStart"/>
            <w:r w:rsidRPr="00CB09E9">
              <w:rPr>
                <w:rFonts w:ascii="Arial" w:eastAsia="Times New Roman" w:hAnsi="Arial" w:cs="Arial"/>
                <w:color w:val="000000" w:themeColor="text1"/>
                <w:sz w:val="24"/>
                <w:szCs w:val="24"/>
                <w:lang w:eastAsia="ru-RU"/>
              </w:rPr>
              <w:t>кв.м</w:t>
            </w:r>
            <w:proofErr w:type="spellEnd"/>
            <w:r w:rsidRPr="00CB09E9">
              <w:rPr>
                <w:rFonts w:ascii="Arial" w:eastAsia="Times New Roman" w:hAnsi="Arial" w:cs="Arial"/>
                <w:color w:val="000000" w:themeColor="text1"/>
                <w:sz w:val="24"/>
                <w:szCs w:val="24"/>
                <w:lang w:eastAsia="ru-RU"/>
              </w:rPr>
              <w:t>.</w:t>
            </w:r>
          </w:p>
        </w:tc>
      </w:tr>
      <w:tr w:rsidR="008C7515" w:rsidRPr="008C7515" w:rsidTr="00EB6AC5">
        <w:tc>
          <w:tcPr>
            <w:tcW w:w="235"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1987"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69"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610"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28</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4604"/>
        <w:gridCol w:w="228"/>
        <w:gridCol w:w="4156"/>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Разведочно-эксплуатационная скважина</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Разведочно-эксплуатационная скважина в с. </w:t>
            </w:r>
            <w:proofErr w:type="spellStart"/>
            <w:r w:rsidRPr="00CB09E9">
              <w:rPr>
                <w:rFonts w:ascii="Arial" w:eastAsia="Times New Roman" w:hAnsi="Arial" w:cs="Arial"/>
                <w:color w:val="000000" w:themeColor="text1"/>
                <w:sz w:val="24"/>
                <w:szCs w:val="24"/>
                <w:lang w:eastAsia="ru-RU"/>
              </w:rPr>
              <w:t>Кличено</w:t>
            </w:r>
            <w:proofErr w:type="spellEnd"/>
            <w:r w:rsidRPr="00CB09E9">
              <w:rPr>
                <w:rFonts w:ascii="Arial" w:eastAsia="Times New Roman" w:hAnsi="Arial" w:cs="Arial"/>
                <w:color w:val="000000" w:themeColor="text1"/>
                <w:sz w:val="24"/>
                <w:szCs w:val="24"/>
                <w:lang w:eastAsia="ru-RU"/>
              </w:rPr>
              <w:t xml:space="preserve"> (1-скважина)</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- 12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46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225"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29</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4696"/>
        <w:gridCol w:w="228"/>
        <w:gridCol w:w="4064"/>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1.</w:t>
            </w:r>
          </w:p>
        </w:tc>
        <w:tc>
          <w:tcPr>
            <w:tcW w:w="25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7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5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7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ул. 50 лет Победы с. Становое</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5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7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- 2,5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водопроводной сети - 400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51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77"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30</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4783"/>
        <w:gridCol w:w="228"/>
        <w:gridCol w:w="3977"/>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5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5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ул. Карабанова п. Широкий</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5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- 2,5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- 2025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водопроводной сети - 700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56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3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31</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4819"/>
        <w:gridCol w:w="228"/>
        <w:gridCol w:w="3941"/>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58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58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 ул. Елецкая с. Березовка</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58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- 36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сетей - 4250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580"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11"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32</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4785"/>
        <w:gridCol w:w="228"/>
        <w:gridCol w:w="3975"/>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2.</w:t>
            </w:r>
          </w:p>
        </w:tc>
        <w:tc>
          <w:tcPr>
            <w:tcW w:w="2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водоснабжения пер. Школьный с. </w:t>
            </w:r>
            <w:proofErr w:type="spellStart"/>
            <w:r w:rsidRPr="00CB09E9">
              <w:rPr>
                <w:rFonts w:ascii="Arial" w:eastAsia="Times New Roman" w:hAnsi="Arial" w:cs="Arial"/>
                <w:color w:val="000000" w:themeColor="text1"/>
                <w:sz w:val="24"/>
                <w:szCs w:val="24"/>
                <w:lang w:eastAsia="ru-RU"/>
              </w:rPr>
              <w:t>Злобино</w:t>
            </w:r>
            <w:proofErr w:type="spellEnd"/>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- 26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сетей - 2670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56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212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33</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5151"/>
        <w:gridCol w:w="228"/>
        <w:gridCol w:w="3609"/>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7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27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 д. Покровское</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7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- 2,5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- 2026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водопроводной сети - 700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75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3"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34</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45"/>
        <w:gridCol w:w="4701"/>
        <w:gridCol w:w="224"/>
        <w:gridCol w:w="4069"/>
      </w:tblGrid>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Реконструкция сетей водоснабжения</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Реконструкция сетей водоснабжения ул. Центральная с. </w:t>
            </w:r>
            <w:proofErr w:type="spellStart"/>
            <w:r w:rsidRPr="00CB09E9">
              <w:rPr>
                <w:rFonts w:ascii="Arial" w:eastAsia="Times New Roman" w:hAnsi="Arial" w:cs="Arial"/>
                <w:color w:val="000000" w:themeColor="text1"/>
                <w:sz w:val="24"/>
                <w:szCs w:val="24"/>
                <w:lang w:eastAsia="ru-RU"/>
              </w:rPr>
              <w:t>Кириллово</w:t>
            </w:r>
            <w:proofErr w:type="spellEnd"/>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- 63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сетей - 5000 м.</w:t>
            </w:r>
          </w:p>
        </w:tc>
      </w:tr>
      <w:tr w:rsidR="008C7515" w:rsidRPr="008C7515" w:rsidTr="00EB6AC5">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Проект № 35</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51"/>
        <w:gridCol w:w="5148"/>
        <w:gridCol w:w="228"/>
        <w:gridCol w:w="3612"/>
      </w:tblGrid>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275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Замена участка водопроводной сети</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2.</w:t>
            </w:r>
          </w:p>
        </w:tc>
        <w:tc>
          <w:tcPr>
            <w:tcW w:w="275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Краткое описание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xml:space="preserve">Замена участка водопроводной сети д. </w:t>
            </w:r>
            <w:proofErr w:type="spellStart"/>
            <w:r w:rsidRPr="00CB09E9">
              <w:rPr>
                <w:rFonts w:ascii="Arial" w:eastAsia="Times New Roman" w:hAnsi="Arial" w:cs="Arial"/>
                <w:color w:val="000000" w:themeColor="text1"/>
                <w:sz w:val="24"/>
                <w:szCs w:val="24"/>
                <w:lang w:eastAsia="ru-RU"/>
              </w:rPr>
              <w:t>Арсентьево</w:t>
            </w:r>
            <w:proofErr w:type="spellEnd"/>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275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Основные показатели проекта (общая стоимость проекта, срок реализации проекта)</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общая стоимость проекта - 2,5 млн. рублей;</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 реализации проекта - 2027 год;</w:t>
            </w:r>
          </w:p>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протяженность водопроводной сети - 700 м.</w:t>
            </w:r>
          </w:p>
        </w:tc>
      </w:tr>
      <w:tr w:rsidR="008C7515" w:rsidRPr="008C7515" w:rsidTr="00EB6AC5">
        <w:tc>
          <w:tcPr>
            <w:tcW w:w="188"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2756"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Формы участия инвестора в проекте</w:t>
            </w:r>
          </w:p>
        </w:tc>
        <w:tc>
          <w:tcPr>
            <w:tcW w:w="122"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w:t>
            </w:r>
          </w:p>
        </w:tc>
        <w:tc>
          <w:tcPr>
            <w:tcW w:w="1934" w:type="pct"/>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бюджетные</w:t>
            </w:r>
          </w:p>
        </w:tc>
      </w:tr>
    </w:tbl>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EB6AC5" w:rsidRPr="00CB09E9" w:rsidRDefault="00EB6AC5"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Приложение 2</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 Стратегии социально-экономического развития</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Становлянского муниципального округа</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Липецкой области Российской Федерации </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период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Перечень муниципальных программ 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34"/>
        <w:gridCol w:w="6420"/>
        <w:gridCol w:w="2496"/>
      </w:tblGrid>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Наименование муниципальной программы</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Сроки реализации муниципальных программ</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образования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экономического потенциала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Повышение эффективности муниципального управления в Становлянском муниципальном округе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Обеспечение населения Становлянского муниципального округа Липецкой области Российской Федерации качественной инфраструктурой и услугами ЖКХ</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Обеспечение безопасности населения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Повышение энергетической эффективности и энергосбережения в Становлянском муниципальном округе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Поддержка социально ориентированных некоммерческих организаций и благотворительной деятельности в Становлянском муниципальном округе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Развитие культуры, спорта и молодежной политики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Духовно-нравственное развитие жителей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Профилактика терроризма и экстремизма, минимизация и (или)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2026 - 2030</w:t>
            </w:r>
          </w:p>
        </w:tc>
      </w:tr>
    </w:tbl>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lastRenderedPageBreak/>
        <w:t>Приложение 3</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к Стратегии социально-экономического развития</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Становлянского муниципального округа</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Липецкой области Российской Федерации </w:t>
      </w:r>
    </w:p>
    <w:p w:rsidR="00CB09E9" w:rsidRPr="00CB09E9" w:rsidRDefault="00CB09E9" w:rsidP="00EB6AC5">
      <w:pPr>
        <w:shd w:val="clear" w:color="auto" w:fill="FFFFFF"/>
        <w:spacing w:after="0" w:line="240" w:lineRule="auto"/>
        <w:ind w:firstLine="567"/>
        <w:jc w:val="right"/>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 период до 2030 года</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p w:rsidR="00CB09E9" w:rsidRPr="00CB09E9" w:rsidRDefault="00CB09E9" w:rsidP="00CB09E9">
      <w:pPr>
        <w:shd w:val="clear" w:color="auto" w:fill="FFFFFF"/>
        <w:spacing w:after="0" w:line="240" w:lineRule="auto"/>
        <w:ind w:firstLine="567"/>
        <w:jc w:val="center"/>
        <w:textAlignment w:val="top"/>
        <w:rPr>
          <w:rFonts w:ascii="Arial" w:eastAsia="Times New Roman" w:hAnsi="Arial" w:cs="Arial"/>
          <w:color w:val="000000" w:themeColor="text1"/>
          <w:sz w:val="24"/>
          <w:szCs w:val="24"/>
          <w:lang w:eastAsia="ru-RU"/>
        </w:rPr>
      </w:pPr>
      <w:r w:rsidRPr="00CB09E9">
        <w:rPr>
          <w:rFonts w:ascii="Arial" w:eastAsia="Times New Roman" w:hAnsi="Arial" w:cs="Arial"/>
          <w:b/>
          <w:bCs/>
          <w:color w:val="000000" w:themeColor="text1"/>
          <w:sz w:val="24"/>
          <w:szCs w:val="24"/>
          <w:lang w:eastAsia="ru-RU"/>
        </w:rPr>
        <w:t>Прогноз ключевых индикаторов Стратегии социально-экономического развития Становлянского муниципального округа Липецкой области Российской Федерации</w:t>
      </w:r>
    </w:p>
    <w:p w:rsidR="00CB09E9" w:rsidRPr="00CB09E9" w:rsidRDefault="00CB09E9" w:rsidP="00CB09E9">
      <w:pPr>
        <w:shd w:val="clear" w:color="auto" w:fill="FFFFFF"/>
        <w:spacing w:after="0" w:line="240" w:lineRule="auto"/>
        <w:ind w:firstLine="567"/>
        <w:jc w:val="both"/>
        <w:textAlignment w:val="top"/>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206"/>
        <w:gridCol w:w="915"/>
        <w:gridCol w:w="914"/>
        <w:gridCol w:w="914"/>
        <w:gridCol w:w="914"/>
        <w:gridCol w:w="845"/>
        <w:gridCol w:w="914"/>
        <w:gridCol w:w="914"/>
        <w:gridCol w:w="914"/>
      </w:tblGrid>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Индикатор</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2029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2030</w:t>
            </w:r>
          </w:p>
        </w:tc>
      </w:tr>
      <w:tr w:rsidR="008C7515" w:rsidRPr="008C7515" w:rsidTr="00CB09E9">
        <w:tc>
          <w:tcPr>
            <w:tcW w:w="0" w:type="auto"/>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Численность населения на начало года, тыс. чел.</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16438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16209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16046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15886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15727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15570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15414</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16421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16260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16094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15933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15773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15615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15459</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16521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16537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16619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16620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16786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16869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16954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17000</w:t>
            </w:r>
          </w:p>
        </w:tc>
      </w:tr>
      <w:tr w:rsidR="008C7515" w:rsidRPr="008C7515" w:rsidTr="00CB09E9">
        <w:tc>
          <w:tcPr>
            <w:tcW w:w="0" w:type="auto"/>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Налоговые и неналоговые доходы бюджета, млн руб.</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820,26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1084,6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943,6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960,1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912,8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959,5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974,2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988,9</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820,26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1084,6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976,5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989,8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942,8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991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1006,3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1021,4</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820,26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1084,6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1095,4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1019,5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971,2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1020,7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1036,5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1052,5</w:t>
            </w:r>
          </w:p>
        </w:tc>
      </w:tr>
      <w:tr w:rsidR="008C7515" w:rsidRPr="008C7515" w:rsidTr="00CB09E9">
        <w:tc>
          <w:tcPr>
            <w:tcW w:w="0" w:type="auto"/>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Среднегодовая численность занятых в экономике, тыс. чел.</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7055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7047</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7035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7012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6990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9668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6948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6925</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7055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7191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7179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7156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7133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7110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7090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7067</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7055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7335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7358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7335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7311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7252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7231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7208</w:t>
            </w:r>
          </w:p>
        </w:tc>
      </w:tr>
      <w:tr w:rsidR="008C7515" w:rsidRPr="008C7515" w:rsidTr="00CB09E9">
        <w:tc>
          <w:tcPr>
            <w:tcW w:w="0" w:type="auto"/>
            <w:gridSpan w:val="9"/>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Среднемесячная заработная плата, тыс. руб.</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Инерционный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52180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52701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54228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55760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57432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61115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65930</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Базовый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52608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55238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57999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60898</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63942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67139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70495</w:t>
            </w:r>
          </w:p>
        </w:tc>
      </w:tr>
      <w:tr w:rsidR="008C7515" w:rsidRPr="008C7515" w:rsidTr="00CB09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Оптимистический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51663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55796</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60259</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63875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65792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67765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69120</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B09E9" w:rsidRPr="00CB09E9" w:rsidRDefault="00CB09E9" w:rsidP="00CB09E9">
            <w:pPr>
              <w:spacing w:after="0" w:line="240" w:lineRule="auto"/>
              <w:rPr>
                <w:rFonts w:ascii="Arial" w:eastAsia="Times New Roman" w:hAnsi="Arial" w:cs="Arial"/>
                <w:color w:val="000000" w:themeColor="text1"/>
                <w:sz w:val="24"/>
                <w:szCs w:val="24"/>
                <w:lang w:eastAsia="ru-RU"/>
              </w:rPr>
            </w:pPr>
            <w:r w:rsidRPr="00CB09E9">
              <w:rPr>
                <w:rFonts w:ascii="Arial" w:eastAsia="Times New Roman" w:hAnsi="Arial" w:cs="Arial"/>
                <w:color w:val="000000" w:themeColor="text1"/>
                <w:sz w:val="24"/>
                <w:szCs w:val="24"/>
                <w:lang w:eastAsia="ru-RU"/>
              </w:rPr>
              <w:t>72194</w:t>
            </w:r>
          </w:p>
        </w:tc>
      </w:tr>
    </w:tbl>
    <w:p w:rsidR="003401ED" w:rsidRPr="008C7515" w:rsidRDefault="003401ED" w:rsidP="003401ED">
      <w:pPr>
        <w:spacing w:after="0" w:line="288" w:lineRule="atLeast"/>
        <w:ind w:firstLine="567"/>
        <w:jc w:val="both"/>
        <w:rPr>
          <w:rFonts w:ascii="Arial" w:eastAsia="Times New Roman" w:hAnsi="Arial" w:cs="Arial"/>
          <w:color w:val="000000" w:themeColor="text1"/>
          <w:sz w:val="24"/>
          <w:szCs w:val="24"/>
          <w:lang w:eastAsia="ru-RU"/>
        </w:rPr>
      </w:pPr>
    </w:p>
    <w:sectPr w:rsidR="003401ED" w:rsidRPr="008C7515" w:rsidSect="00167A0C">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A5E"/>
    <w:rsid w:val="000C4927"/>
    <w:rsid w:val="000F5954"/>
    <w:rsid w:val="00146CE5"/>
    <w:rsid w:val="00167A0C"/>
    <w:rsid w:val="00176334"/>
    <w:rsid w:val="001F679C"/>
    <w:rsid w:val="002B5A8E"/>
    <w:rsid w:val="00306CF3"/>
    <w:rsid w:val="003401ED"/>
    <w:rsid w:val="003D763F"/>
    <w:rsid w:val="00594C8E"/>
    <w:rsid w:val="006436C7"/>
    <w:rsid w:val="006A7ECE"/>
    <w:rsid w:val="006B4E4D"/>
    <w:rsid w:val="00727EDB"/>
    <w:rsid w:val="00794A8D"/>
    <w:rsid w:val="00821AE5"/>
    <w:rsid w:val="00851A5E"/>
    <w:rsid w:val="00893FFA"/>
    <w:rsid w:val="00895E76"/>
    <w:rsid w:val="008C7515"/>
    <w:rsid w:val="00CB09E9"/>
    <w:rsid w:val="00E85390"/>
    <w:rsid w:val="00EB6AC5"/>
    <w:rsid w:val="00FD2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02AFF"/>
  <w15:docId w15:val="{4A356863-49BF-49D0-8057-EF1AE7F3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A5E"/>
  </w:style>
  <w:style w:type="paragraph" w:styleId="1">
    <w:name w:val="heading 1"/>
    <w:basedOn w:val="a"/>
    <w:link w:val="10"/>
    <w:uiPriority w:val="9"/>
    <w:qFormat/>
    <w:rsid w:val="00CB09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B09E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B09E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51A5E"/>
    <w:rPr>
      <w:color w:val="0000FF"/>
      <w:u w:val="single"/>
    </w:rPr>
  </w:style>
  <w:style w:type="paragraph" w:styleId="a4">
    <w:name w:val="Balloon Text"/>
    <w:basedOn w:val="a"/>
    <w:link w:val="a5"/>
    <w:uiPriority w:val="99"/>
    <w:semiHidden/>
    <w:unhideWhenUsed/>
    <w:rsid w:val="00851A5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1A5E"/>
    <w:rPr>
      <w:rFonts w:ascii="Tahoma" w:hAnsi="Tahoma" w:cs="Tahoma"/>
      <w:sz w:val="16"/>
      <w:szCs w:val="16"/>
    </w:rPr>
  </w:style>
  <w:style w:type="character" w:customStyle="1" w:styleId="10">
    <w:name w:val="Заголовок 1 Знак"/>
    <w:basedOn w:val="a0"/>
    <w:link w:val="1"/>
    <w:uiPriority w:val="9"/>
    <w:rsid w:val="00CB09E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B09E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B09E9"/>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CB09E9"/>
  </w:style>
  <w:style w:type="paragraph" w:customStyle="1" w:styleId="msonormal0">
    <w:name w:val="msonormal"/>
    <w:basedOn w:val="a"/>
    <w:rsid w:val="00CB09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CB09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CB09E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6700">
      <w:bodyDiv w:val="1"/>
      <w:marLeft w:val="0"/>
      <w:marRight w:val="0"/>
      <w:marTop w:val="0"/>
      <w:marBottom w:val="0"/>
      <w:divBdr>
        <w:top w:val="none" w:sz="0" w:space="0" w:color="auto"/>
        <w:left w:val="none" w:sz="0" w:space="0" w:color="auto"/>
        <w:bottom w:val="none" w:sz="0" w:space="0" w:color="auto"/>
        <w:right w:val="none" w:sz="0" w:space="0" w:color="auto"/>
      </w:divBdr>
      <w:divsChild>
        <w:div w:id="1844858702">
          <w:marLeft w:val="0"/>
          <w:marRight w:val="0"/>
          <w:marTop w:val="0"/>
          <w:marBottom w:val="0"/>
          <w:divBdr>
            <w:top w:val="none" w:sz="0" w:space="0" w:color="157FCC"/>
            <w:left w:val="none" w:sz="0" w:space="0" w:color="157FCC"/>
            <w:bottom w:val="none" w:sz="0" w:space="0" w:color="157FCC"/>
            <w:right w:val="none" w:sz="0" w:space="0" w:color="157FCC"/>
          </w:divBdr>
          <w:divsChild>
            <w:div w:id="1968273389">
              <w:marLeft w:val="0"/>
              <w:marRight w:val="0"/>
              <w:marTop w:val="0"/>
              <w:marBottom w:val="0"/>
              <w:divBdr>
                <w:top w:val="single" w:sz="6" w:space="0" w:color="157FCC"/>
                <w:left w:val="single" w:sz="6" w:space="0" w:color="157FCC"/>
                <w:bottom w:val="single" w:sz="6" w:space="0" w:color="157FCC"/>
                <w:right w:val="single" w:sz="6" w:space="0" w:color="157FCC"/>
              </w:divBdr>
              <w:divsChild>
                <w:div w:id="1302077335">
                  <w:marLeft w:val="0"/>
                  <w:marRight w:val="0"/>
                  <w:marTop w:val="0"/>
                  <w:marBottom w:val="0"/>
                  <w:divBdr>
                    <w:top w:val="none" w:sz="0" w:space="0" w:color="157FCC"/>
                    <w:left w:val="none" w:sz="0" w:space="0" w:color="157FCC"/>
                    <w:bottom w:val="none" w:sz="0" w:space="0" w:color="157FCC"/>
                    <w:right w:val="none" w:sz="0" w:space="0" w:color="157FCC"/>
                  </w:divBdr>
                  <w:divsChild>
                    <w:div w:id="1810592665">
                      <w:marLeft w:val="0"/>
                      <w:marRight w:val="0"/>
                      <w:marTop w:val="0"/>
                      <w:marBottom w:val="0"/>
                      <w:divBdr>
                        <w:top w:val="single" w:sz="6" w:space="0" w:color="157FCC"/>
                        <w:left w:val="single" w:sz="6" w:space="0" w:color="157FCC"/>
                        <w:bottom w:val="single" w:sz="6" w:space="0" w:color="157FCC"/>
                        <w:right w:val="single" w:sz="6" w:space="0" w:color="157FCC"/>
                      </w:divBdr>
                      <w:divsChild>
                        <w:div w:id="1164054825">
                          <w:marLeft w:val="0"/>
                          <w:marRight w:val="0"/>
                          <w:marTop w:val="0"/>
                          <w:marBottom w:val="0"/>
                          <w:divBdr>
                            <w:top w:val="none" w:sz="0" w:space="0" w:color="157FCC"/>
                            <w:left w:val="none" w:sz="0" w:space="0" w:color="157FCC"/>
                            <w:bottom w:val="none" w:sz="0" w:space="0" w:color="157FCC"/>
                            <w:right w:val="none" w:sz="0" w:space="0" w:color="157FCC"/>
                          </w:divBdr>
                          <w:divsChild>
                            <w:div w:id="1330328741">
                              <w:marLeft w:val="0"/>
                              <w:marRight w:val="0"/>
                              <w:marTop w:val="0"/>
                              <w:marBottom w:val="0"/>
                              <w:divBdr>
                                <w:top w:val="single" w:sz="6" w:space="0" w:color="157FCC"/>
                                <w:left w:val="single" w:sz="6" w:space="0" w:color="157FCC"/>
                                <w:bottom w:val="single" w:sz="6" w:space="0" w:color="157FCC"/>
                                <w:right w:val="single" w:sz="6" w:space="0" w:color="157FCC"/>
                              </w:divBdr>
                              <w:divsChild>
                                <w:div w:id="941884415">
                                  <w:marLeft w:val="0"/>
                                  <w:marRight w:val="0"/>
                                  <w:marTop w:val="0"/>
                                  <w:marBottom w:val="0"/>
                                  <w:divBdr>
                                    <w:top w:val="none" w:sz="0" w:space="0" w:color="auto"/>
                                    <w:left w:val="none" w:sz="0" w:space="0" w:color="auto"/>
                                    <w:bottom w:val="none" w:sz="0" w:space="0" w:color="auto"/>
                                    <w:right w:val="none" w:sz="0" w:space="0" w:color="auto"/>
                                  </w:divBdr>
                                  <w:divsChild>
                                    <w:div w:id="1371298413">
                                      <w:marLeft w:val="0"/>
                                      <w:marRight w:val="0"/>
                                      <w:marTop w:val="0"/>
                                      <w:marBottom w:val="0"/>
                                      <w:divBdr>
                                        <w:top w:val="none" w:sz="0" w:space="0" w:color="157FCC"/>
                                        <w:left w:val="none" w:sz="0" w:space="0" w:color="157FCC"/>
                                        <w:bottom w:val="none" w:sz="0" w:space="0" w:color="157FCC"/>
                                        <w:right w:val="none" w:sz="0" w:space="0" w:color="157FCC"/>
                                      </w:divBdr>
                                      <w:divsChild>
                                        <w:div w:id="800684646">
                                          <w:marLeft w:val="0"/>
                                          <w:marRight w:val="0"/>
                                          <w:marTop w:val="0"/>
                                          <w:marBottom w:val="0"/>
                                          <w:divBdr>
                                            <w:top w:val="single" w:sz="6" w:space="0" w:color="157FCC"/>
                                            <w:left w:val="single" w:sz="6" w:space="0" w:color="157FCC"/>
                                            <w:bottom w:val="single" w:sz="6" w:space="0" w:color="157FCC"/>
                                            <w:right w:val="single" w:sz="6" w:space="0" w:color="157FCC"/>
                                          </w:divBdr>
                                          <w:divsChild>
                                            <w:div w:id="658537425">
                                              <w:marLeft w:val="0"/>
                                              <w:marRight w:val="0"/>
                                              <w:marTop w:val="0"/>
                                              <w:marBottom w:val="0"/>
                                              <w:divBdr>
                                                <w:top w:val="none" w:sz="0" w:space="0" w:color="auto"/>
                                                <w:left w:val="none" w:sz="0" w:space="0" w:color="auto"/>
                                                <w:bottom w:val="none" w:sz="0" w:space="0" w:color="auto"/>
                                                <w:right w:val="none" w:sz="0" w:space="0" w:color="auto"/>
                                              </w:divBdr>
                                              <w:divsChild>
                                                <w:div w:id="15373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7200897">
      <w:bodyDiv w:val="1"/>
      <w:marLeft w:val="0"/>
      <w:marRight w:val="0"/>
      <w:marTop w:val="0"/>
      <w:marBottom w:val="0"/>
      <w:divBdr>
        <w:top w:val="none" w:sz="0" w:space="0" w:color="auto"/>
        <w:left w:val="none" w:sz="0" w:space="0" w:color="auto"/>
        <w:bottom w:val="none" w:sz="0" w:space="0" w:color="auto"/>
        <w:right w:val="none" w:sz="0" w:space="0" w:color="auto"/>
      </w:divBdr>
    </w:div>
    <w:div w:id="566111160">
      <w:bodyDiv w:val="1"/>
      <w:marLeft w:val="0"/>
      <w:marRight w:val="0"/>
      <w:marTop w:val="0"/>
      <w:marBottom w:val="0"/>
      <w:divBdr>
        <w:top w:val="none" w:sz="0" w:space="0" w:color="auto"/>
        <w:left w:val="none" w:sz="0" w:space="0" w:color="auto"/>
        <w:bottom w:val="none" w:sz="0" w:space="0" w:color="auto"/>
        <w:right w:val="none" w:sz="0" w:space="0" w:color="auto"/>
      </w:divBdr>
      <w:divsChild>
        <w:div w:id="556671960">
          <w:marLeft w:val="0"/>
          <w:marRight w:val="0"/>
          <w:marTop w:val="0"/>
          <w:marBottom w:val="0"/>
          <w:divBdr>
            <w:top w:val="none" w:sz="0" w:space="0" w:color="157FCC"/>
            <w:left w:val="none" w:sz="0" w:space="0" w:color="157FCC"/>
            <w:bottom w:val="none" w:sz="0" w:space="0" w:color="157FCC"/>
            <w:right w:val="none" w:sz="0" w:space="0" w:color="157FCC"/>
          </w:divBdr>
          <w:divsChild>
            <w:div w:id="1362824574">
              <w:marLeft w:val="0"/>
              <w:marRight w:val="0"/>
              <w:marTop w:val="0"/>
              <w:marBottom w:val="0"/>
              <w:divBdr>
                <w:top w:val="single" w:sz="6" w:space="0" w:color="157FCC"/>
                <w:left w:val="single" w:sz="6" w:space="0" w:color="157FCC"/>
                <w:bottom w:val="single" w:sz="6" w:space="0" w:color="157FCC"/>
                <w:right w:val="single" w:sz="6" w:space="0" w:color="157FCC"/>
              </w:divBdr>
              <w:divsChild>
                <w:div w:id="601957641">
                  <w:marLeft w:val="0"/>
                  <w:marRight w:val="0"/>
                  <w:marTop w:val="0"/>
                  <w:marBottom w:val="0"/>
                  <w:divBdr>
                    <w:top w:val="none" w:sz="0" w:space="0" w:color="157FCC"/>
                    <w:left w:val="none" w:sz="0" w:space="0" w:color="157FCC"/>
                    <w:bottom w:val="none" w:sz="0" w:space="0" w:color="157FCC"/>
                    <w:right w:val="none" w:sz="0" w:space="0" w:color="157FCC"/>
                  </w:divBdr>
                  <w:divsChild>
                    <w:div w:id="1441997877">
                      <w:marLeft w:val="0"/>
                      <w:marRight w:val="0"/>
                      <w:marTop w:val="0"/>
                      <w:marBottom w:val="0"/>
                      <w:divBdr>
                        <w:top w:val="single" w:sz="6" w:space="0" w:color="157FCC"/>
                        <w:left w:val="single" w:sz="6" w:space="0" w:color="157FCC"/>
                        <w:bottom w:val="single" w:sz="6" w:space="0" w:color="157FCC"/>
                        <w:right w:val="single" w:sz="6" w:space="0" w:color="157FCC"/>
                      </w:divBdr>
                      <w:divsChild>
                        <w:div w:id="1457524963">
                          <w:marLeft w:val="0"/>
                          <w:marRight w:val="0"/>
                          <w:marTop w:val="0"/>
                          <w:marBottom w:val="0"/>
                          <w:divBdr>
                            <w:top w:val="none" w:sz="0" w:space="0" w:color="157FCC"/>
                            <w:left w:val="none" w:sz="0" w:space="0" w:color="157FCC"/>
                            <w:bottom w:val="none" w:sz="0" w:space="0" w:color="157FCC"/>
                            <w:right w:val="none" w:sz="0" w:space="0" w:color="157FCC"/>
                          </w:divBdr>
                          <w:divsChild>
                            <w:div w:id="1599634723">
                              <w:marLeft w:val="0"/>
                              <w:marRight w:val="0"/>
                              <w:marTop w:val="0"/>
                              <w:marBottom w:val="0"/>
                              <w:divBdr>
                                <w:top w:val="single" w:sz="6" w:space="0" w:color="157FCC"/>
                                <w:left w:val="single" w:sz="6" w:space="0" w:color="157FCC"/>
                                <w:bottom w:val="single" w:sz="6" w:space="0" w:color="157FCC"/>
                                <w:right w:val="single" w:sz="6" w:space="0" w:color="157FCC"/>
                              </w:divBdr>
                              <w:divsChild>
                                <w:div w:id="1145660305">
                                  <w:marLeft w:val="0"/>
                                  <w:marRight w:val="0"/>
                                  <w:marTop w:val="0"/>
                                  <w:marBottom w:val="0"/>
                                  <w:divBdr>
                                    <w:top w:val="none" w:sz="0" w:space="0" w:color="auto"/>
                                    <w:left w:val="none" w:sz="0" w:space="0" w:color="auto"/>
                                    <w:bottom w:val="none" w:sz="0" w:space="0" w:color="auto"/>
                                    <w:right w:val="none" w:sz="0" w:space="0" w:color="auto"/>
                                  </w:divBdr>
                                  <w:divsChild>
                                    <w:div w:id="425926066">
                                      <w:marLeft w:val="0"/>
                                      <w:marRight w:val="0"/>
                                      <w:marTop w:val="0"/>
                                      <w:marBottom w:val="0"/>
                                      <w:divBdr>
                                        <w:top w:val="none" w:sz="0" w:space="0" w:color="157FCC"/>
                                        <w:left w:val="none" w:sz="0" w:space="0" w:color="157FCC"/>
                                        <w:bottom w:val="none" w:sz="0" w:space="0" w:color="157FCC"/>
                                        <w:right w:val="none" w:sz="0" w:space="0" w:color="157FCC"/>
                                      </w:divBdr>
                                      <w:divsChild>
                                        <w:div w:id="997540132">
                                          <w:marLeft w:val="0"/>
                                          <w:marRight w:val="0"/>
                                          <w:marTop w:val="0"/>
                                          <w:marBottom w:val="0"/>
                                          <w:divBdr>
                                            <w:top w:val="single" w:sz="6" w:space="0" w:color="157FCC"/>
                                            <w:left w:val="single" w:sz="6" w:space="0" w:color="157FCC"/>
                                            <w:bottom w:val="single" w:sz="6" w:space="0" w:color="157FCC"/>
                                            <w:right w:val="single" w:sz="6" w:space="0" w:color="157FCC"/>
                                          </w:divBdr>
                                          <w:divsChild>
                                            <w:div w:id="689111095">
                                              <w:marLeft w:val="0"/>
                                              <w:marRight w:val="0"/>
                                              <w:marTop w:val="0"/>
                                              <w:marBottom w:val="0"/>
                                              <w:divBdr>
                                                <w:top w:val="none" w:sz="0" w:space="0" w:color="auto"/>
                                                <w:left w:val="none" w:sz="0" w:space="0" w:color="auto"/>
                                                <w:bottom w:val="none" w:sz="0" w:space="0" w:color="auto"/>
                                                <w:right w:val="none" w:sz="0" w:space="0" w:color="auto"/>
                                              </w:divBdr>
                                              <w:divsChild>
                                                <w:div w:id="156116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934704">
      <w:bodyDiv w:val="1"/>
      <w:marLeft w:val="0"/>
      <w:marRight w:val="0"/>
      <w:marTop w:val="0"/>
      <w:marBottom w:val="0"/>
      <w:divBdr>
        <w:top w:val="none" w:sz="0" w:space="0" w:color="auto"/>
        <w:left w:val="none" w:sz="0" w:space="0" w:color="auto"/>
        <w:bottom w:val="none" w:sz="0" w:space="0" w:color="auto"/>
        <w:right w:val="none" w:sz="0" w:space="0" w:color="auto"/>
      </w:divBdr>
    </w:div>
    <w:div w:id="1802725407">
      <w:bodyDiv w:val="1"/>
      <w:marLeft w:val="0"/>
      <w:marRight w:val="0"/>
      <w:marTop w:val="0"/>
      <w:marBottom w:val="0"/>
      <w:divBdr>
        <w:top w:val="none" w:sz="0" w:space="0" w:color="auto"/>
        <w:left w:val="none" w:sz="0" w:space="0" w:color="auto"/>
        <w:bottom w:val="none" w:sz="0" w:space="0" w:color="auto"/>
        <w:right w:val="none" w:sz="0" w:space="0" w:color="auto"/>
      </w:divBdr>
      <w:divsChild>
        <w:div w:id="1362901546">
          <w:marLeft w:val="0"/>
          <w:marRight w:val="0"/>
          <w:marTop w:val="0"/>
          <w:marBottom w:val="0"/>
          <w:divBdr>
            <w:top w:val="none" w:sz="0" w:space="0" w:color="157FCC"/>
            <w:left w:val="none" w:sz="0" w:space="0" w:color="157FCC"/>
            <w:bottom w:val="none" w:sz="0" w:space="0" w:color="157FCC"/>
            <w:right w:val="none" w:sz="0" w:space="0" w:color="157FCC"/>
          </w:divBdr>
          <w:divsChild>
            <w:div w:id="2041054901">
              <w:marLeft w:val="0"/>
              <w:marRight w:val="0"/>
              <w:marTop w:val="0"/>
              <w:marBottom w:val="0"/>
              <w:divBdr>
                <w:top w:val="single" w:sz="6" w:space="0" w:color="157FCC"/>
                <w:left w:val="single" w:sz="6" w:space="0" w:color="157FCC"/>
                <w:bottom w:val="single" w:sz="6" w:space="0" w:color="157FCC"/>
                <w:right w:val="single" w:sz="6" w:space="0" w:color="157FCC"/>
              </w:divBdr>
              <w:divsChild>
                <w:div w:id="380903406">
                  <w:marLeft w:val="0"/>
                  <w:marRight w:val="0"/>
                  <w:marTop w:val="0"/>
                  <w:marBottom w:val="0"/>
                  <w:divBdr>
                    <w:top w:val="none" w:sz="0" w:space="0" w:color="157FCC"/>
                    <w:left w:val="none" w:sz="0" w:space="0" w:color="157FCC"/>
                    <w:bottom w:val="none" w:sz="0" w:space="0" w:color="157FCC"/>
                    <w:right w:val="none" w:sz="0" w:space="0" w:color="157FCC"/>
                  </w:divBdr>
                  <w:divsChild>
                    <w:div w:id="756099632">
                      <w:marLeft w:val="0"/>
                      <w:marRight w:val="0"/>
                      <w:marTop w:val="0"/>
                      <w:marBottom w:val="0"/>
                      <w:divBdr>
                        <w:top w:val="single" w:sz="6" w:space="0" w:color="157FCC"/>
                        <w:left w:val="single" w:sz="6" w:space="0" w:color="157FCC"/>
                        <w:bottom w:val="single" w:sz="6" w:space="0" w:color="157FCC"/>
                        <w:right w:val="single" w:sz="6" w:space="0" w:color="157FCC"/>
                      </w:divBdr>
                      <w:divsChild>
                        <w:div w:id="103621205">
                          <w:marLeft w:val="0"/>
                          <w:marRight w:val="0"/>
                          <w:marTop w:val="0"/>
                          <w:marBottom w:val="0"/>
                          <w:divBdr>
                            <w:top w:val="none" w:sz="0" w:space="0" w:color="157FCC"/>
                            <w:left w:val="none" w:sz="0" w:space="0" w:color="157FCC"/>
                            <w:bottom w:val="none" w:sz="0" w:space="0" w:color="157FCC"/>
                            <w:right w:val="none" w:sz="0" w:space="0" w:color="157FCC"/>
                          </w:divBdr>
                          <w:divsChild>
                            <w:div w:id="1478760720">
                              <w:marLeft w:val="0"/>
                              <w:marRight w:val="0"/>
                              <w:marTop w:val="0"/>
                              <w:marBottom w:val="0"/>
                              <w:divBdr>
                                <w:top w:val="single" w:sz="6" w:space="0" w:color="157FCC"/>
                                <w:left w:val="single" w:sz="6" w:space="0" w:color="157FCC"/>
                                <w:bottom w:val="single" w:sz="6" w:space="0" w:color="157FCC"/>
                                <w:right w:val="single" w:sz="6" w:space="0" w:color="157FCC"/>
                              </w:divBdr>
                              <w:divsChild>
                                <w:div w:id="928541262">
                                  <w:marLeft w:val="0"/>
                                  <w:marRight w:val="0"/>
                                  <w:marTop w:val="0"/>
                                  <w:marBottom w:val="0"/>
                                  <w:divBdr>
                                    <w:top w:val="none" w:sz="0" w:space="0" w:color="auto"/>
                                    <w:left w:val="none" w:sz="0" w:space="0" w:color="auto"/>
                                    <w:bottom w:val="none" w:sz="0" w:space="0" w:color="auto"/>
                                    <w:right w:val="none" w:sz="0" w:space="0" w:color="auto"/>
                                  </w:divBdr>
                                  <w:divsChild>
                                    <w:div w:id="1314138326">
                                      <w:marLeft w:val="0"/>
                                      <w:marRight w:val="0"/>
                                      <w:marTop w:val="0"/>
                                      <w:marBottom w:val="0"/>
                                      <w:divBdr>
                                        <w:top w:val="none" w:sz="0" w:space="0" w:color="157FCC"/>
                                        <w:left w:val="none" w:sz="0" w:space="0" w:color="157FCC"/>
                                        <w:bottom w:val="none" w:sz="0" w:space="0" w:color="157FCC"/>
                                        <w:right w:val="none" w:sz="0" w:space="0" w:color="157FCC"/>
                                      </w:divBdr>
                                      <w:divsChild>
                                        <w:div w:id="54014878">
                                          <w:marLeft w:val="0"/>
                                          <w:marRight w:val="0"/>
                                          <w:marTop w:val="0"/>
                                          <w:marBottom w:val="0"/>
                                          <w:divBdr>
                                            <w:top w:val="single" w:sz="6" w:space="0" w:color="157FCC"/>
                                            <w:left w:val="single" w:sz="6" w:space="0" w:color="157FCC"/>
                                            <w:bottom w:val="single" w:sz="6" w:space="0" w:color="157FCC"/>
                                            <w:right w:val="single" w:sz="6" w:space="0" w:color="157FCC"/>
                                          </w:divBdr>
                                          <w:divsChild>
                                            <w:div w:id="636567293">
                                              <w:marLeft w:val="0"/>
                                              <w:marRight w:val="0"/>
                                              <w:marTop w:val="0"/>
                                              <w:marBottom w:val="0"/>
                                              <w:divBdr>
                                                <w:top w:val="none" w:sz="0" w:space="0" w:color="auto"/>
                                                <w:left w:val="none" w:sz="0" w:space="0" w:color="auto"/>
                                                <w:bottom w:val="none" w:sz="0" w:space="0" w:color="auto"/>
                                                <w:right w:val="none" w:sz="0" w:space="0" w:color="auto"/>
                                              </w:divBdr>
                                              <w:divsChild>
                                                <w:div w:id="17059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image" Target="media/image4.jpeg"/><Relationship Id="rId18" Type="http://schemas.openxmlformats.org/officeDocument/2006/relationships/image" Target="media/image9.gif"/><Relationship Id="rId26" Type="http://schemas.openxmlformats.org/officeDocument/2006/relationships/hyperlink" Target="http://ru48.registrnpa.ru/" TargetMode="External"/><Relationship Id="rId39"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fontTable" Target="fontTable.xml"/><Relationship Id="rId7" Type="http://schemas.openxmlformats.org/officeDocument/2006/relationships/hyperlink" Target="http://ru48.registrnpa.ru/" TargetMode="External"/><Relationship Id="rId12" Type="http://schemas.openxmlformats.org/officeDocument/2006/relationships/image" Target="media/image3.jpeg"/><Relationship Id="rId17" Type="http://schemas.openxmlformats.org/officeDocument/2006/relationships/image" Target="media/image8.gif"/><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ru48.registrnpa.ru/" TargetMode="External"/><Relationship Id="rId29" Type="http://schemas.openxmlformats.org/officeDocument/2006/relationships/hyperlink" Target="http://ru48.registrnpa.ru/" TargetMode="External"/><Relationship Id="rId41"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image" Target="media/image2.jpeg"/><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image" Target="media/image6.jpeg"/><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image" Target="media/image5.gif"/><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29419</Words>
  <Characters>167691</Characters>
  <Application>Microsoft Office Word</Application>
  <DocSecurity>0</DocSecurity>
  <Lines>1397</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Татьянина Наталья Николаевна</dc:creator>
  <cp:lastModifiedBy>Admin</cp:lastModifiedBy>
  <cp:revision>5</cp:revision>
  <cp:lastPrinted>2024-04-17T10:49:00Z</cp:lastPrinted>
  <dcterms:created xsi:type="dcterms:W3CDTF">2025-05-23T07:23:00Z</dcterms:created>
  <dcterms:modified xsi:type="dcterms:W3CDTF">2025-05-23T08:54:00Z</dcterms:modified>
</cp:coreProperties>
</file>