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rPr>
          <w:rFonts w:ascii="Times New Roman" w:hAnsi="Times New Roman" w:cs="Times New Roman"/>
          <w:color w:val="3d4146"/>
          <w:sz w:val="32"/>
          <w:szCs w:val="32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322806" cy="1367790"/>
                <wp:effectExtent l="0" t="0" r="0" b="381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349612" cy="139550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04.16pt;height:107.7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/>
    </w:p>
    <w:p>
      <w:pPr>
        <w:spacing w:before="150" w:after="375" w:line="240" w:lineRule="auto"/>
        <w:rPr>
          <w:b/>
          <w:bCs/>
          <w:sz w:val="44"/>
          <w:szCs w:val="44"/>
        </w:rPr>
        <w:outlineLvl w:val="0"/>
      </w:pPr>
      <w:r>
        <w:rPr>
          <w:b/>
          <w:bCs/>
          <w:sz w:val="44"/>
          <w:szCs w:val="44"/>
        </w:rPr>
        <w:t xml:space="preserve">В 2025 году в Липецкой области пройдут комплексные кадастровые работы на 419 кадастровых кварталах</w:t>
      </w:r>
      <w:r>
        <w:rPr>
          <w:b/>
          <w:bCs/>
          <w:sz w:val="44"/>
          <w:szCs w:val="44"/>
        </w:rPr>
      </w:r>
    </w:p>
    <w:p>
      <w:pPr>
        <w:spacing w:before="150" w:after="375" w:line="240" w:lineRule="auto"/>
        <w:rPr>
          <w:rFonts w:ascii="Arial" w:hAnsi="Arial" w:eastAsia="Times New Roman" w:cs="Arial"/>
          <w:color w:val="444444"/>
          <w:sz w:val="28"/>
          <w:szCs w:val="28"/>
          <w:lang w:eastAsia="ru-RU"/>
        </w:rPr>
        <w:outlineLvl w:val="0"/>
      </w:pP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  <w:t xml:space="preserve">Государственная программа РФ «Национальная система пространственных данных» предусматривает наполнение ЕГРН полными и точными сведениями в объеме не менее 95 % к концу 2030 года.</w:t>
      </w: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</w:r>
    </w:p>
    <w:p>
      <w:pPr>
        <w:spacing w:before="150" w:after="375" w:line="240" w:lineRule="auto"/>
        <w:rPr>
          <w:rFonts w:ascii="Arial" w:hAnsi="Arial" w:eastAsia="Times New Roman" w:cs="Arial"/>
          <w:color w:val="444444"/>
          <w:sz w:val="28"/>
          <w:szCs w:val="28"/>
          <w:lang w:eastAsia="ru-RU"/>
        </w:rPr>
        <w:outlineLvl w:val="0"/>
      </w:pP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  <w:t xml:space="preserve">Это возможно осуществить при увеличении масштаба проведения комплексных кадастровых работ (ККР).</w:t>
      </w: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</w:r>
    </w:p>
    <w:p>
      <w:pPr>
        <w:spacing w:before="150" w:after="375" w:line="240" w:lineRule="auto"/>
        <w:rPr>
          <w:rFonts w:ascii="Arial" w:hAnsi="Arial" w:eastAsia="Times New Roman" w:cs="Arial"/>
          <w:color w:val="444444"/>
          <w:sz w:val="28"/>
          <w:szCs w:val="28"/>
          <w:lang w:eastAsia="ru-RU"/>
        </w:rPr>
        <w:outlineLvl w:val="0"/>
      </w:pP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  <w:t xml:space="preserve">ККР выполняются за счет бюджетных средств.</w:t>
      </w: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</w:r>
    </w:p>
    <w:p>
      <w:pPr>
        <w:spacing w:before="150" w:after="375" w:line="240" w:lineRule="auto"/>
        <w:rPr>
          <w:rFonts w:ascii="Arial" w:hAnsi="Arial" w:eastAsia="Times New Roman" w:cs="Arial"/>
          <w:color w:val="444444"/>
          <w:sz w:val="28"/>
          <w:szCs w:val="28"/>
          <w:lang w:eastAsia="ru-RU"/>
        </w:rPr>
        <w:outlineLvl w:val="0"/>
      </w:pP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  <w:t xml:space="preserve">В зависимости от источника финансирования подразделяются на работы федерального, регионального и местного значения.</w:t>
      </w: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</w:r>
    </w:p>
    <w:p>
      <w:pPr>
        <w:spacing w:before="150" w:after="375" w:line="240" w:lineRule="auto"/>
        <w:rPr>
          <w:rFonts w:ascii="Arial" w:hAnsi="Arial" w:eastAsia="Times New Roman" w:cs="Arial"/>
          <w:color w:val="444444"/>
          <w:sz w:val="28"/>
          <w:szCs w:val="28"/>
          <w:lang w:eastAsia="ru-RU"/>
        </w:rPr>
        <w:outlineLvl w:val="0"/>
      </w:pP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  <w:t xml:space="preserve">Комплексные кадастровые работы федерального значения выполняются на основании соглашения о предоставлении ППК «</w:t>
      </w: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  <w:t xml:space="preserve">Роскадастр</w:t>
      </w: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  <w:t xml:space="preserve">» субсидии на указанные цели, заключенного между Росреестром и ППК «</w:t>
      </w: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  <w:t xml:space="preserve">Роскадастр</w:t>
      </w: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  <w:t xml:space="preserve">».</w:t>
      </w: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</w:r>
    </w:p>
    <w:p>
      <w:pPr>
        <w:spacing w:before="150" w:after="375" w:line="240" w:lineRule="auto"/>
        <w:rPr>
          <w:rFonts w:ascii="Arial" w:hAnsi="Arial" w:eastAsia="Times New Roman" w:cs="Arial"/>
          <w:color w:val="444444"/>
          <w:sz w:val="28"/>
          <w:szCs w:val="28"/>
          <w:lang w:eastAsia="ru-RU"/>
        </w:rPr>
        <w:outlineLvl w:val="0"/>
      </w:pP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  <w:t xml:space="preserve">Перечень кадастровых кварталов подготавливается Росреестром на основании предложений органов государственной власти субъектов Российской Федерации и ППК «</w:t>
      </w: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  <w:t xml:space="preserve">Роскадастр</w:t>
      </w: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  <w:t xml:space="preserve">».</w:t>
      </w: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</w:r>
    </w:p>
    <w:p>
      <w:pPr>
        <w:spacing w:before="150" w:after="375" w:line="240" w:lineRule="auto"/>
        <w:rPr>
          <w:rFonts w:ascii="Arial" w:hAnsi="Arial" w:eastAsia="Times New Roman" w:cs="Arial"/>
          <w:color w:val="444444"/>
          <w:sz w:val="28"/>
          <w:szCs w:val="28"/>
          <w:lang w:eastAsia="ru-RU"/>
        </w:rPr>
        <w:outlineLvl w:val="0"/>
      </w:pP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  <w:t xml:space="preserve">В 2025 году ведомство заключило Соглашение на проведение комплексных кадастровых работ на территории 87 субъектов РФ, в том числе и на территории Липецкой области.</w:t>
      </w: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</w:r>
    </w:p>
    <w:p>
      <w:pPr>
        <w:spacing w:before="150" w:after="375" w:line="240" w:lineRule="auto"/>
        <w:rPr>
          <w:rFonts w:ascii="Arial" w:hAnsi="Arial" w:eastAsia="Times New Roman" w:cs="Arial"/>
          <w:color w:val="444444"/>
          <w:sz w:val="28"/>
          <w:szCs w:val="28"/>
          <w:lang w:eastAsia="ru-RU"/>
        </w:rPr>
        <w:outlineLvl w:val="0"/>
      </w:pP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  <w:t xml:space="preserve">В текущем году на территории Липецкой области ККР будут проводиться на 419 кадастровых кварталах за счет средств </w:t>
      </w: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  <w:t xml:space="preserve">федерального бюджета и осуществлять их будет  филиал ППК «</w:t>
      </w: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  <w:t xml:space="preserve">Роскадастр</w:t>
      </w: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  <w:t xml:space="preserve">» по Липецкой области.</w:t>
      </w: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</w:r>
    </w:p>
    <w:p>
      <w:pPr>
        <w:spacing w:before="150" w:after="375" w:line="240" w:lineRule="auto"/>
        <w:rPr>
          <w:rFonts w:ascii="Arial" w:hAnsi="Arial" w:eastAsia="Times New Roman" w:cs="Arial"/>
          <w:color w:val="444444"/>
          <w:sz w:val="28"/>
          <w:szCs w:val="28"/>
          <w:lang w:eastAsia="ru-RU"/>
        </w:rPr>
        <w:outlineLvl w:val="0"/>
      </w:pP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  <w:t xml:space="preserve">Ознакомиться с п</w:t>
      </w: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  <w:t xml:space="preserve">еречн</w:t>
      </w: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  <w:t xml:space="preserve">ем</w:t>
      </w: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  <w:t xml:space="preserve"> кадастровых кварталов </w:t>
      </w: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  <w:t xml:space="preserve">можно по ссылке:</w:t>
      </w: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</w:r>
    </w:p>
    <w:p>
      <w:pPr>
        <w:spacing w:before="150" w:after="375" w:line="240" w:lineRule="auto"/>
        <w:rPr>
          <w:rFonts w:ascii="Arial" w:hAnsi="Arial" w:eastAsia="Times New Roman" w:cs="Arial"/>
          <w:color w:val="444444"/>
          <w:sz w:val="28"/>
          <w:szCs w:val="28"/>
          <w:lang w:eastAsia="ru-RU"/>
        </w:rPr>
        <w:outlineLvl w:val="0"/>
      </w:pP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  <w:t xml:space="preserve">https://rosreestr.gov.ru/activity/obespechenie-kadastrovoy-deyatelnosti/kompleksnye-kadastrovye-raboty/izveshcheniya-o-nachale-vypolneniya-kompleksnykh-kadastrovykh-rabot-na-territorii-subektov-rossiysko/</w:t>
      </w:r>
      <w:bookmarkStart w:id="0" w:name="_GoBack"/>
      <w:r/>
      <w:bookmarkEnd w:id="0"/>
      <w:r/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</w:r>
    </w:p>
    <w:p>
      <w:pPr>
        <w:spacing w:before="150" w:after="375" w:line="240" w:lineRule="auto"/>
        <w:rPr>
          <w:rFonts w:ascii="Arial" w:hAnsi="Arial" w:eastAsia="Times New Roman" w:cs="Arial"/>
          <w:color w:val="444444"/>
          <w:sz w:val="28"/>
          <w:szCs w:val="28"/>
          <w:lang w:eastAsia="ru-RU"/>
        </w:rPr>
        <w:outlineLvl w:val="0"/>
      </w:pP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  <w:t xml:space="preserve">Пресс-служба Управления Росреестра по Липецкой области</w:t>
      </w:r>
      <w:r>
        <w:rPr>
          <w:rFonts w:ascii="Arial" w:hAnsi="Arial" w:eastAsia="Times New Roman" w:cs="Arial"/>
          <w:color w:val="444444"/>
          <w:sz w:val="28"/>
          <w:szCs w:val="28"/>
          <w:lang w:eastAsia="ru-RU"/>
        </w:rPr>
      </w:r>
    </w:p>
    <w:sectPr>
      <w:footnotePr/>
      <w:endnotePr/>
      <w:type w:val="nextPage"/>
      <w:pgSz w:w="11906" w:h="16838" w:orient="portrait"/>
      <w:pgMar w:top="284" w:right="425" w:bottom="680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43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5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7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9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1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3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5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7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95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15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7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9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1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3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5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7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95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63"/>
    <w:next w:val="663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64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63"/>
    <w:next w:val="66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64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63"/>
    <w:next w:val="66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6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63"/>
    <w:next w:val="66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6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63"/>
    <w:next w:val="66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6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63"/>
    <w:next w:val="66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6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63"/>
    <w:next w:val="66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6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63"/>
    <w:next w:val="66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6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63"/>
    <w:next w:val="66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6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63"/>
    <w:next w:val="66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64"/>
    <w:link w:val="34"/>
    <w:uiPriority w:val="10"/>
    <w:rPr>
      <w:sz w:val="48"/>
      <w:szCs w:val="48"/>
    </w:rPr>
  </w:style>
  <w:style w:type="paragraph" w:styleId="36">
    <w:name w:val="Subtitle"/>
    <w:basedOn w:val="663"/>
    <w:next w:val="66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64"/>
    <w:link w:val="36"/>
    <w:uiPriority w:val="11"/>
    <w:rPr>
      <w:sz w:val="24"/>
      <w:szCs w:val="24"/>
    </w:rPr>
  </w:style>
  <w:style w:type="paragraph" w:styleId="38">
    <w:name w:val="Quote"/>
    <w:basedOn w:val="663"/>
    <w:next w:val="66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63"/>
    <w:next w:val="66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64"/>
    <w:link w:val="667"/>
    <w:uiPriority w:val="99"/>
  </w:style>
  <w:style w:type="character" w:styleId="45">
    <w:name w:val="Footer Char"/>
    <w:basedOn w:val="664"/>
    <w:link w:val="669"/>
    <w:uiPriority w:val="99"/>
  </w:style>
  <w:style w:type="paragraph" w:styleId="46">
    <w:name w:val="Caption"/>
    <w:basedOn w:val="663"/>
    <w:next w:val="66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69"/>
    <w:uiPriority w:val="99"/>
  </w:style>
  <w:style w:type="table" w:styleId="48">
    <w:name w:val="Table Grid"/>
    <w:basedOn w:val="66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6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64"/>
    <w:uiPriority w:val="99"/>
    <w:unhideWhenUsed/>
    <w:rPr>
      <w:vertAlign w:val="superscript"/>
    </w:rPr>
  </w:style>
  <w:style w:type="paragraph" w:styleId="178">
    <w:name w:val="endnote text"/>
    <w:basedOn w:val="66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64"/>
    <w:uiPriority w:val="99"/>
    <w:semiHidden/>
    <w:unhideWhenUsed/>
    <w:rPr>
      <w:vertAlign w:val="superscript"/>
    </w:rPr>
  </w:style>
  <w:style w:type="paragraph" w:styleId="181">
    <w:name w:val="toc 1"/>
    <w:basedOn w:val="663"/>
    <w:next w:val="66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63"/>
    <w:next w:val="66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63"/>
    <w:next w:val="66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63"/>
    <w:next w:val="66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63"/>
    <w:next w:val="66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63"/>
    <w:next w:val="66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63"/>
    <w:next w:val="66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63"/>
    <w:next w:val="66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63"/>
    <w:next w:val="66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63"/>
    <w:next w:val="663"/>
    <w:uiPriority w:val="99"/>
    <w:unhideWhenUsed/>
    <w:pPr>
      <w:spacing w:after="0" w:afterAutospacing="0"/>
    </w:pPr>
  </w:style>
  <w:style w:type="paragraph" w:styleId="663" w:default="1">
    <w:name w:val="Normal"/>
    <w:qFormat/>
  </w:style>
  <w:style w:type="character" w:styleId="664" w:default="1">
    <w:name w:val="Default Paragraph Font"/>
    <w:uiPriority w:val="1"/>
    <w:semiHidden/>
    <w:unhideWhenUsed/>
  </w:style>
  <w:style w:type="table" w:styleId="6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6" w:default="1">
    <w:name w:val="No List"/>
    <w:uiPriority w:val="99"/>
    <w:semiHidden/>
    <w:unhideWhenUsed/>
  </w:style>
  <w:style w:type="paragraph" w:styleId="667">
    <w:name w:val="Header"/>
    <w:basedOn w:val="663"/>
    <w:link w:val="66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68" w:customStyle="1">
    <w:name w:val="Верхний колонтитул Знак"/>
    <w:basedOn w:val="664"/>
    <w:link w:val="667"/>
    <w:uiPriority w:val="99"/>
  </w:style>
  <w:style w:type="paragraph" w:styleId="669">
    <w:name w:val="Footer"/>
    <w:basedOn w:val="663"/>
    <w:link w:val="67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70" w:customStyle="1">
    <w:name w:val="Нижний колонтитул Знак"/>
    <w:basedOn w:val="664"/>
    <w:link w:val="669"/>
    <w:uiPriority w:val="99"/>
  </w:style>
  <w:style w:type="paragraph" w:styleId="671">
    <w:name w:val="Balloon Text"/>
    <w:basedOn w:val="663"/>
    <w:link w:val="67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72" w:customStyle="1">
    <w:name w:val="Текст выноски Знак"/>
    <w:basedOn w:val="664"/>
    <w:link w:val="671"/>
    <w:uiPriority w:val="99"/>
    <w:semiHidden/>
    <w:rPr>
      <w:rFonts w:ascii="Tahoma" w:hAnsi="Tahoma" w:cs="Tahoma"/>
      <w:sz w:val="16"/>
      <w:szCs w:val="16"/>
    </w:rPr>
  </w:style>
  <w:style w:type="character" w:styleId="673">
    <w:name w:val="Hyperlink"/>
    <w:basedOn w:val="664"/>
    <w:uiPriority w:val="99"/>
    <w:unhideWhenUsed/>
    <w:rPr>
      <w:color w:val="0563c1" w:themeColor="hyperlink"/>
      <w:u w:val="single"/>
    </w:rPr>
  </w:style>
  <w:style w:type="paragraph" w:styleId="674">
    <w:name w:val="List Paragraph"/>
    <w:basedOn w:val="663"/>
    <w:uiPriority w:val="34"/>
    <w:qFormat/>
    <w:pPr>
      <w:contextualSpacing/>
      <w:ind w:left="720"/>
    </w:pPr>
  </w:style>
  <w:style w:type="character" w:styleId="675">
    <w:name w:val="Emphasis"/>
    <w:basedOn w:val="664"/>
    <w:uiPriority w:val="20"/>
    <w:qFormat/>
    <w:rPr>
      <w:i/>
      <w:iCs/>
    </w:rPr>
  </w:style>
  <w:style w:type="paragraph" w:styleId="676">
    <w:name w:val="Normal (Web)"/>
    <w:basedOn w:val="663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Reanimator Extreme Edition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Кирсанова Светлана Николаевна</dc:creator>
  <cp:revision>4</cp:revision>
  <dcterms:created xsi:type="dcterms:W3CDTF">2025-03-13T09:18:00Z</dcterms:created>
  <dcterms:modified xsi:type="dcterms:W3CDTF">2025-03-19T06:59:38Z</dcterms:modified>
</cp:coreProperties>
</file>